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17696" w14:textId="1CCD34E7" w:rsidR="003C691D" w:rsidRPr="003C691D" w:rsidRDefault="003C691D" w:rsidP="003C691D">
      <w:pPr>
        <w:rPr>
          <w:b/>
          <w:bCs/>
        </w:rPr>
      </w:pPr>
      <w:r w:rsidRPr="003C691D">
        <w:rPr>
          <w:b/>
          <w:bCs/>
        </w:rPr>
        <w:t xml:space="preserve">Clarifications about Social Audit Solicitation </w:t>
      </w:r>
    </w:p>
    <w:p w14:paraId="07734E93" w14:textId="77777777" w:rsidR="003C691D" w:rsidRDefault="003C691D" w:rsidP="003C691D"/>
    <w:p w14:paraId="77641E06" w14:textId="3D85CBFF" w:rsidR="003C691D" w:rsidRDefault="003C691D" w:rsidP="003C691D">
      <w:pPr>
        <w:rPr>
          <w:color w:val="000000"/>
          <w:sz w:val="24"/>
          <w:szCs w:val="24"/>
        </w:rPr>
      </w:pPr>
      <w:r>
        <w:t>Question:</w:t>
      </w:r>
      <w:r>
        <w:rPr>
          <w:color w:val="000000"/>
          <w:sz w:val="24"/>
          <w:szCs w:val="24"/>
        </w:rPr>
        <w:br/>
      </w:r>
      <w:r>
        <w:rPr>
          <w:color w:val="000000"/>
          <w:sz w:val="24"/>
          <w:szCs w:val="24"/>
        </w:rPr>
        <w:br/>
        <w:t>Following up this week's information session regarding the call for facilitation CSO's to enable and support social audit activities, I would like to request, if possible, access to the manual/methodology of social auditing which was presented by DEMOS two weeks ago.</w:t>
      </w:r>
      <w:r>
        <w:rPr>
          <w:color w:val="000000"/>
          <w:sz w:val="24"/>
          <w:szCs w:val="24"/>
        </w:rPr>
        <w:br/>
      </w:r>
      <w:r>
        <w:rPr>
          <w:color w:val="000000"/>
          <w:sz w:val="24"/>
          <w:szCs w:val="24"/>
        </w:rPr>
        <w:br/>
      </w:r>
      <w:r>
        <w:rPr>
          <w:color w:val="000000"/>
          <w:sz w:val="24"/>
          <w:szCs w:val="24"/>
        </w:rPr>
        <w:t>Answer:</w:t>
      </w:r>
    </w:p>
    <w:p w14:paraId="0E32687A" w14:textId="01DAA2EB" w:rsidR="003C691D" w:rsidRDefault="003C691D" w:rsidP="003C691D">
      <w:r>
        <w:t xml:space="preserve">In relation to the Request for Proposal (RFP) for Facilitation Civil Society Organizations (CSOs) to enable and support Social Audit activities, please find below the following answers (to the one email we received and one clarification that we consider needs to be provided to avoid confusion among applicants). </w:t>
      </w:r>
    </w:p>
    <w:p w14:paraId="3EDEBC87" w14:textId="4CD90041" w:rsidR="003C691D" w:rsidRDefault="003C691D" w:rsidP="003C691D">
      <w:pPr>
        <w:pStyle w:val="ListParagraph"/>
        <w:numPr>
          <w:ilvl w:val="0"/>
          <w:numId w:val="1"/>
        </w:numPr>
        <w:rPr>
          <w:rFonts w:eastAsia="Times New Roman"/>
        </w:rPr>
      </w:pPr>
      <w:r>
        <w:rPr>
          <w:rFonts w:eastAsia="Times New Roman"/>
        </w:rPr>
        <w:t xml:space="preserve">Given that that the Guide/Methodology on Social Audit activities cannot be shared at this time due to it being in the final stages of its finalization, instead of the Guide/Methodology </w:t>
      </w:r>
      <w:r w:rsidR="00A6718A">
        <w:rPr>
          <w:rFonts w:eastAsia="Times New Roman"/>
        </w:rPr>
        <w:t xml:space="preserve">in the link attached </w:t>
      </w:r>
      <w:r>
        <w:rPr>
          <w:rFonts w:eastAsia="Times New Roman"/>
        </w:rPr>
        <w:t>below can be found the power point presentation that summarizes the Guide/Methodology and that was presented during the validation meeting with all stakeholders</w:t>
      </w:r>
      <w:r w:rsidR="00A6718A">
        <w:rPr>
          <w:rFonts w:eastAsia="Times New Roman"/>
        </w:rPr>
        <w:t xml:space="preserve">: </w:t>
      </w:r>
      <w:r w:rsidR="00A6718A" w:rsidRPr="00A6718A">
        <w:rPr>
          <w:rFonts w:eastAsia="Times New Roman"/>
        </w:rPr>
        <w:t>https://drive.google.com/drive/folders/1rAKH28qBrHd098lpJ3ll_oHJWJCmbB--?usp=sharing</w:t>
      </w:r>
    </w:p>
    <w:p w14:paraId="3BEBA6E3" w14:textId="77777777" w:rsidR="00A6718A" w:rsidRDefault="00A6718A" w:rsidP="003C691D">
      <w:pPr>
        <w:pStyle w:val="ListParagraph"/>
        <w:numPr>
          <w:ilvl w:val="0"/>
          <w:numId w:val="1"/>
        </w:numPr>
        <w:rPr>
          <w:rFonts w:eastAsia="Times New Roman"/>
        </w:rPr>
      </w:pPr>
    </w:p>
    <w:p w14:paraId="01F36754" w14:textId="3BA8CE97" w:rsidR="003C691D" w:rsidRDefault="003C691D" w:rsidP="003C691D">
      <w:pPr>
        <w:pStyle w:val="ListParagraph"/>
        <w:numPr>
          <w:ilvl w:val="0"/>
          <w:numId w:val="1"/>
        </w:numPr>
        <w:rPr>
          <w:rFonts w:eastAsia="Times New Roman"/>
        </w:rPr>
      </w:pPr>
      <w:proofErr w:type="gramStart"/>
      <w:r>
        <w:rPr>
          <w:rFonts w:eastAsia="Times New Roman"/>
        </w:rPr>
        <w:t>In order to</w:t>
      </w:r>
      <w:proofErr w:type="gramEnd"/>
      <w:r>
        <w:rPr>
          <w:rFonts w:eastAsia="Times New Roman"/>
        </w:rPr>
        <w:t xml:space="preserve"> avoid potential confusion among applicants, in relation to the Technical Proposal and the mandatory criteria please refer to point 11.2 on the Request for Proposal, citing that the mandatory criteria to be fulfilled under the Technical Proposal are:</w:t>
      </w:r>
    </w:p>
    <w:p w14:paraId="560A39B1" w14:textId="77777777" w:rsidR="00A6718A" w:rsidRPr="00A6718A" w:rsidRDefault="00A6718A" w:rsidP="00A6718A">
      <w:pPr>
        <w:ind w:left="360"/>
        <w:rPr>
          <w:rFonts w:eastAsia="Times New Roman"/>
        </w:rPr>
      </w:pPr>
    </w:p>
    <w:tbl>
      <w:tblPr>
        <w:tblW w:w="0" w:type="auto"/>
        <w:tblInd w:w="-168" w:type="dxa"/>
        <w:tblCellMar>
          <w:left w:w="0" w:type="dxa"/>
          <w:right w:w="0" w:type="dxa"/>
        </w:tblCellMar>
        <w:tblLook w:val="04A0" w:firstRow="1" w:lastRow="0" w:firstColumn="1" w:lastColumn="0" w:noHBand="0" w:noVBand="1"/>
      </w:tblPr>
      <w:tblGrid>
        <w:gridCol w:w="4586"/>
        <w:gridCol w:w="4586"/>
      </w:tblGrid>
      <w:tr w:rsidR="003C691D" w14:paraId="1187B875" w14:textId="77777777" w:rsidTr="003C691D">
        <w:trPr>
          <w:trHeight w:val="105"/>
        </w:trPr>
        <w:tc>
          <w:tcPr>
            <w:tcW w:w="4586" w:type="dxa"/>
            <w:tcMar>
              <w:top w:w="0" w:type="dxa"/>
              <w:left w:w="108" w:type="dxa"/>
              <w:bottom w:w="0" w:type="dxa"/>
              <w:right w:w="108" w:type="dxa"/>
            </w:tcMar>
            <w:hideMark/>
          </w:tcPr>
          <w:p w14:paraId="71CFC4A6" w14:textId="77777777" w:rsidR="003C691D" w:rsidRDefault="003C691D">
            <w:pPr>
              <w:autoSpaceDE w:val="0"/>
              <w:autoSpaceDN w:val="0"/>
              <w:rPr>
                <w:color w:val="000000"/>
                <w:sz w:val="21"/>
                <w:szCs w:val="21"/>
              </w:rPr>
            </w:pPr>
            <w:r>
              <w:rPr>
                <w:b/>
                <w:bCs/>
                <w:color w:val="000000"/>
                <w:sz w:val="21"/>
                <w:szCs w:val="21"/>
              </w:rPr>
              <w:t xml:space="preserve">Requirements </w:t>
            </w:r>
          </w:p>
        </w:tc>
        <w:tc>
          <w:tcPr>
            <w:tcW w:w="4586" w:type="dxa"/>
            <w:tcMar>
              <w:top w:w="0" w:type="dxa"/>
              <w:left w:w="108" w:type="dxa"/>
              <w:bottom w:w="0" w:type="dxa"/>
              <w:right w:w="108" w:type="dxa"/>
            </w:tcMar>
            <w:hideMark/>
          </w:tcPr>
          <w:p w14:paraId="4AB80AEB" w14:textId="77777777" w:rsidR="003C691D" w:rsidRDefault="003C691D">
            <w:pPr>
              <w:autoSpaceDE w:val="0"/>
              <w:autoSpaceDN w:val="0"/>
              <w:rPr>
                <w:color w:val="000000"/>
                <w:sz w:val="21"/>
                <w:szCs w:val="21"/>
              </w:rPr>
            </w:pPr>
            <w:r>
              <w:rPr>
                <w:b/>
                <w:bCs/>
                <w:color w:val="000000"/>
                <w:sz w:val="21"/>
                <w:szCs w:val="21"/>
              </w:rPr>
              <w:t xml:space="preserve">Documentary evidence </w:t>
            </w:r>
          </w:p>
        </w:tc>
      </w:tr>
      <w:tr w:rsidR="003C691D" w14:paraId="1042D173" w14:textId="77777777" w:rsidTr="003C691D">
        <w:trPr>
          <w:trHeight w:val="300"/>
        </w:trPr>
        <w:tc>
          <w:tcPr>
            <w:tcW w:w="4586" w:type="dxa"/>
            <w:tcMar>
              <w:top w:w="0" w:type="dxa"/>
              <w:left w:w="108" w:type="dxa"/>
              <w:bottom w:w="0" w:type="dxa"/>
              <w:right w:w="108" w:type="dxa"/>
            </w:tcMar>
          </w:tcPr>
          <w:p w14:paraId="1EBC273D" w14:textId="77777777" w:rsidR="003C691D" w:rsidRDefault="003C691D">
            <w:pPr>
              <w:autoSpaceDE w:val="0"/>
              <w:autoSpaceDN w:val="0"/>
              <w:rPr>
                <w:sz w:val="24"/>
                <w:szCs w:val="24"/>
              </w:rPr>
            </w:pPr>
          </w:p>
          <w:p w14:paraId="333A149F" w14:textId="77777777" w:rsidR="003C691D" w:rsidRDefault="003C691D">
            <w:pPr>
              <w:autoSpaceDE w:val="0"/>
              <w:autoSpaceDN w:val="0"/>
              <w:rPr>
                <w:color w:val="000000"/>
              </w:rPr>
            </w:pPr>
            <w:r>
              <w:rPr>
                <w:color w:val="000000"/>
              </w:rPr>
              <w:t xml:space="preserve">1. Proposed Team </w:t>
            </w:r>
          </w:p>
          <w:p w14:paraId="5635D9D9" w14:textId="77777777" w:rsidR="003C691D" w:rsidRDefault="003C691D">
            <w:pPr>
              <w:autoSpaceDE w:val="0"/>
              <w:autoSpaceDN w:val="0"/>
              <w:rPr>
                <w:color w:val="000000"/>
              </w:rPr>
            </w:pPr>
          </w:p>
        </w:tc>
        <w:tc>
          <w:tcPr>
            <w:tcW w:w="4586" w:type="dxa"/>
            <w:tcMar>
              <w:top w:w="0" w:type="dxa"/>
              <w:left w:w="108" w:type="dxa"/>
              <w:bottom w:w="0" w:type="dxa"/>
              <w:right w:w="108" w:type="dxa"/>
            </w:tcMar>
            <w:hideMark/>
          </w:tcPr>
          <w:p w14:paraId="6AF33B9C" w14:textId="77777777" w:rsidR="003C691D" w:rsidRDefault="003C691D">
            <w:pPr>
              <w:autoSpaceDE w:val="0"/>
              <w:autoSpaceDN w:val="0"/>
              <w:rPr>
                <w:color w:val="000000"/>
              </w:rPr>
            </w:pPr>
            <w:r>
              <w:rPr>
                <w:color w:val="000000"/>
              </w:rPr>
              <w:t xml:space="preserve">CV(s) with documentary evidence proving the experience stated in the CV </w:t>
            </w:r>
          </w:p>
        </w:tc>
      </w:tr>
      <w:tr w:rsidR="003C691D" w14:paraId="74C4DF61" w14:textId="77777777" w:rsidTr="003C691D">
        <w:trPr>
          <w:trHeight w:val="1313"/>
        </w:trPr>
        <w:tc>
          <w:tcPr>
            <w:tcW w:w="4586" w:type="dxa"/>
            <w:tcMar>
              <w:top w:w="0" w:type="dxa"/>
              <w:left w:w="108" w:type="dxa"/>
              <w:bottom w:w="0" w:type="dxa"/>
              <w:right w:w="108" w:type="dxa"/>
            </w:tcMar>
            <w:hideMark/>
          </w:tcPr>
          <w:p w14:paraId="6E69F354" w14:textId="77777777" w:rsidR="003C691D" w:rsidRDefault="003C691D">
            <w:pPr>
              <w:autoSpaceDE w:val="0"/>
              <w:autoSpaceDN w:val="0"/>
              <w:rPr>
                <w:color w:val="000000"/>
                <w:sz w:val="21"/>
                <w:szCs w:val="21"/>
              </w:rPr>
            </w:pPr>
            <w:r>
              <w:rPr>
                <w:color w:val="000000"/>
                <w:sz w:val="21"/>
                <w:szCs w:val="21"/>
              </w:rPr>
              <w:t xml:space="preserve">2. The bidder has carried out </w:t>
            </w:r>
            <w:proofErr w:type="gramStart"/>
            <w:r>
              <w:rPr>
                <w:color w:val="000000"/>
                <w:sz w:val="21"/>
                <w:szCs w:val="21"/>
              </w:rPr>
              <w:t>in the course of</w:t>
            </w:r>
            <w:proofErr w:type="gramEnd"/>
            <w:r>
              <w:rPr>
                <w:color w:val="000000"/>
                <w:sz w:val="21"/>
                <w:szCs w:val="21"/>
              </w:rPr>
              <w:t xml:space="preserve"> the past 5 years (2017,2018,2019,2020,2021) at least 3 projects in fields specified in Terms of Reference. </w:t>
            </w:r>
          </w:p>
        </w:tc>
        <w:tc>
          <w:tcPr>
            <w:tcW w:w="4586" w:type="dxa"/>
            <w:tcMar>
              <w:top w:w="0" w:type="dxa"/>
              <w:left w:w="108" w:type="dxa"/>
              <w:bottom w:w="0" w:type="dxa"/>
              <w:right w:w="108" w:type="dxa"/>
            </w:tcMar>
            <w:hideMark/>
          </w:tcPr>
          <w:p w14:paraId="71A8D373" w14:textId="77777777" w:rsidR="003C691D" w:rsidRDefault="003C691D">
            <w:pPr>
              <w:autoSpaceDE w:val="0"/>
              <w:autoSpaceDN w:val="0"/>
              <w:rPr>
                <w:color w:val="000000"/>
                <w:sz w:val="21"/>
                <w:szCs w:val="21"/>
              </w:rPr>
            </w:pPr>
            <w:r>
              <w:rPr>
                <w:color w:val="000000"/>
                <w:sz w:val="21"/>
                <w:szCs w:val="21"/>
              </w:rPr>
              <w:t xml:space="preserve">A list of projects according to template in PART 1 – Application package under Professional Capacity section, accompanied by documentary evidence for at least </w:t>
            </w:r>
            <w:r>
              <w:rPr>
                <w:b/>
                <w:bCs/>
                <w:color w:val="000000"/>
                <w:sz w:val="21"/>
                <w:szCs w:val="21"/>
              </w:rPr>
              <w:t xml:space="preserve">3 </w:t>
            </w:r>
            <w:r>
              <w:rPr>
                <w:color w:val="000000"/>
                <w:sz w:val="21"/>
                <w:szCs w:val="21"/>
              </w:rPr>
              <w:t xml:space="preserve">projects relevant to the requirements of this tender. By documentary evidence, this refers to reference letters, reports, or other documentary evidence. Only documentary evidence found to be relevant for the tender’s thematic fields will be considered. </w:t>
            </w:r>
          </w:p>
        </w:tc>
      </w:tr>
      <w:tr w:rsidR="003C691D" w14:paraId="18350289" w14:textId="77777777" w:rsidTr="003C691D">
        <w:trPr>
          <w:trHeight w:val="568"/>
        </w:trPr>
        <w:tc>
          <w:tcPr>
            <w:tcW w:w="4586" w:type="dxa"/>
            <w:tcMar>
              <w:top w:w="0" w:type="dxa"/>
              <w:left w:w="108" w:type="dxa"/>
              <w:bottom w:w="0" w:type="dxa"/>
              <w:right w:w="108" w:type="dxa"/>
            </w:tcMar>
            <w:hideMark/>
          </w:tcPr>
          <w:p w14:paraId="3FBA8F23" w14:textId="77777777" w:rsidR="003C691D" w:rsidRDefault="003C691D">
            <w:pPr>
              <w:autoSpaceDE w:val="0"/>
              <w:autoSpaceDN w:val="0"/>
              <w:rPr>
                <w:color w:val="000000"/>
                <w:sz w:val="21"/>
                <w:szCs w:val="21"/>
              </w:rPr>
            </w:pPr>
            <w:r>
              <w:rPr>
                <w:color w:val="000000"/>
                <w:sz w:val="21"/>
                <w:szCs w:val="21"/>
              </w:rPr>
              <w:lastRenderedPageBreak/>
              <w:t xml:space="preserve">3. Methodology </w:t>
            </w:r>
          </w:p>
        </w:tc>
        <w:tc>
          <w:tcPr>
            <w:tcW w:w="4586" w:type="dxa"/>
            <w:tcMar>
              <w:top w:w="0" w:type="dxa"/>
              <w:left w:w="108" w:type="dxa"/>
              <w:bottom w:w="0" w:type="dxa"/>
              <w:right w:w="108" w:type="dxa"/>
            </w:tcMar>
            <w:hideMark/>
          </w:tcPr>
          <w:p w14:paraId="73121824" w14:textId="77777777" w:rsidR="003C691D" w:rsidRDefault="003C691D">
            <w:pPr>
              <w:autoSpaceDE w:val="0"/>
              <w:autoSpaceDN w:val="0"/>
              <w:rPr>
                <w:color w:val="000000"/>
              </w:rPr>
            </w:pPr>
            <w:r>
              <w:rPr>
                <w:color w:val="000000"/>
              </w:rPr>
              <w:t xml:space="preserve">Proposed Methodology, </w:t>
            </w:r>
            <w:proofErr w:type="gramStart"/>
            <w:r>
              <w:rPr>
                <w:color w:val="000000"/>
              </w:rPr>
              <w:t>Approach</w:t>
            </w:r>
            <w:proofErr w:type="gramEnd"/>
            <w:r>
              <w:rPr>
                <w:color w:val="000000"/>
              </w:rPr>
              <w:t xml:space="preserve"> and Implementation Plan (including identification of potential risks and ways of mitigating them) </w:t>
            </w:r>
          </w:p>
        </w:tc>
      </w:tr>
    </w:tbl>
    <w:p w14:paraId="56E0C9AF" w14:textId="77777777" w:rsidR="003C691D" w:rsidRDefault="003C691D" w:rsidP="003C691D">
      <w:pPr>
        <w:rPr>
          <w:color w:val="000000"/>
          <w:sz w:val="24"/>
          <w:szCs w:val="24"/>
        </w:rPr>
      </w:pPr>
    </w:p>
    <w:p w14:paraId="05336736" w14:textId="77777777" w:rsidR="003C691D" w:rsidRDefault="003C691D"/>
    <w:p w14:paraId="01333751" w14:textId="77777777" w:rsidR="003C691D" w:rsidRDefault="003C691D"/>
    <w:sectPr w:rsidR="003C691D" w:rsidSect="003C691D">
      <w:headerReference w:type="default" r:id="rId7"/>
      <w:footerReference w:type="default" r:id="rId8"/>
      <w:pgSz w:w="12240" w:h="15840"/>
      <w:pgMar w:top="1440" w:right="144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CF8A6" w14:textId="77777777" w:rsidR="004E4B7A" w:rsidRDefault="004E4B7A" w:rsidP="003C691D">
      <w:pPr>
        <w:spacing w:after="0" w:line="240" w:lineRule="auto"/>
      </w:pPr>
      <w:r>
        <w:separator/>
      </w:r>
    </w:p>
  </w:endnote>
  <w:endnote w:type="continuationSeparator" w:id="0">
    <w:p w14:paraId="48CABAD4" w14:textId="77777777" w:rsidR="004E4B7A" w:rsidRDefault="004E4B7A" w:rsidP="003C6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A5FC1" w14:textId="22C986DD" w:rsidR="003C691D" w:rsidRDefault="003C691D" w:rsidP="003C691D">
    <w:pPr>
      <w:pStyle w:val="Footer"/>
      <w:jc w:val="right"/>
    </w:pPr>
    <w:r w:rsidRPr="00F76B67">
      <w:rPr>
        <w:rFonts w:ascii="Arial" w:hAnsi="Arial" w:cs="Arial"/>
        <w:noProof/>
        <w:sz w:val="28"/>
        <w:szCs w:val="28"/>
        <w:lang w:eastAsia="en-GB"/>
      </w:rPr>
      <w:drawing>
        <wp:inline distT="0" distB="0" distL="0" distR="0" wp14:anchorId="2847A3CE" wp14:editId="5F63CF4E">
          <wp:extent cx="1875427" cy="495300"/>
          <wp:effectExtent l="0" t="0" r="0" b="0"/>
          <wp:docPr id="6" name="Picture 6"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sig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5218" cy="5084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53AE9" w14:textId="77777777" w:rsidR="004E4B7A" w:rsidRDefault="004E4B7A" w:rsidP="003C691D">
      <w:pPr>
        <w:spacing w:after="0" w:line="240" w:lineRule="auto"/>
      </w:pPr>
      <w:r>
        <w:separator/>
      </w:r>
    </w:p>
  </w:footnote>
  <w:footnote w:type="continuationSeparator" w:id="0">
    <w:p w14:paraId="79699E0C" w14:textId="77777777" w:rsidR="004E4B7A" w:rsidRDefault="004E4B7A" w:rsidP="003C6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F54BE" w14:textId="77777777" w:rsidR="003C691D" w:rsidRPr="00F76B67" w:rsidRDefault="003C691D" w:rsidP="003C691D">
    <w:pPr>
      <w:tabs>
        <w:tab w:val="left" w:pos="2589"/>
      </w:tabs>
      <w:ind w:left="-630" w:right="-1170"/>
      <w:rPr>
        <w:rFonts w:ascii="Arial" w:hAnsi="Arial" w:cs="Arial"/>
        <w:sz w:val="28"/>
        <w:szCs w:val="28"/>
      </w:rPr>
    </w:pPr>
    <w:r>
      <w:rPr>
        <w:rFonts w:ascii="Arial" w:hAnsi="Arial" w:cs="Arial"/>
        <w:noProof/>
        <w:sz w:val="28"/>
        <w:szCs w:val="28"/>
      </w:rPr>
      <w:t xml:space="preserve">       </w:t>
    </w:r>
    <w:r w:rsidRPr="00F76B67">
      <w:rPr>
        <w:rFonts w:ascii="Arial" w:hAnsi="Arial" w:cs="Arial"/>
        <w:noProof/>
        <w:sz w:val="28"/>
        <w:szCs w:val="28"/>
      </w:rPr>
      <w:t xml:space="preserve"> </w:t>
    </w:r>
    <w:r w:rsidRPr="00F76B67">
      <w:rPr>
        <w:rFonts w:ascii="Arial" w:hAnsi="Arial" w:cs="Arial"/>
        <w:noProof/>
        <w:sz w:val="28"/>
        <w:szCs w:val="28"/>
        <w:lang w:eastAsia="en-GB"/>
      </w:rPr>
      <w:drawing>
        <wp:inline distT="0" distB="0" distL="0" distR="0" wp14:anchorId="4ED9BE83" wp14:editId="4627A346">
          <wp:extent cx="1704975" cy="356595"/>
          <wp:effectExtent l="0" t="0" r="0" b="5715"/>
          <wp:docPr id="61" name="Picture 6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33912" cy="383562"/>
                  </a:xfrm>
                  <a:prstGeom prst="rect">
                    <a:avLst/>
                  </a:prstGeom>
                  <a:noFill/>
                  <a:ln>
                    <a:noFill/>
                  </a:ln>
                </pic:spPr>
              </pic:pic>
            </a:graphicData>
          </a:graphic>
        </wp:inline>
      </w:drawing>
    </w:r>
    <w:r w:rsidRPr="00F76B67">
      <w:rPr>
        <w:rFonts w:ascii="Arial" w:hAnsi="Arial" w:cs="Arial"/>
        <w:noProof/>
        <w:sz w:val="28"/>
        <w:szCs w:val="28"/>
        <w:lang w:eastAsia="en-GB"/>
      </w:rPr>
      <w:drawing>
        <wp:inline distT="0" distB="0" distL="0" distR="0" wp14:anchorId="32E6FBF7" wp14:editId="480D7663">
          <wp:extent cx="872350" cy="392350"/>
          <wp:effectExtent l="0" t="0" r="4445" b="8255"/>
          <wp:docPr id="62" name="Picture 6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40883" cy="423174"/>
                  </a:xfrm>
                  <a:prstGeom prst="rect">
                    <a:avLst/>
                  </a:prstGeom>
                  <a:noFill/>
                  <a:ln>
                    <a:noFill/>
                  </a:ln>
                </pic:spPr>
              </pic:pic>
            </a:graphicData>
          </a:graphic>
        </wp:inline>
      </w:drawing>
    </w:r>
    <w:r w:rsidRPr="00F76B67">
      <w:rPr>
        <w:rFonts w:ascii="Arial" w:hAnsi="Arial" w:cs="Arial"/>
        <w:noProof/>
        <w:sz w:val="28"/>
        <w:szCs w:val="28"/>
      </w:rPr>
      <w:t xml:space="preserve"> </w:t>
    </w:r>
    <w:r>
      <w:rPr>
        <w:rFonts w:ascii="Arial" w:hAnsi="Arial" w:cs="Arial"/>
        <w:noProof/>
        <w:sz w:val="28"/>
        <w:szCs w:val="28"/>
      </w:rPr>
      <w:t xml:space="preserve"> </w:t>
    </w:r>
    <w:r w:rsidRPr="00F76B67">
      <w:rPr>
        <w:rFonts w:ascii="Arial" w:hAnsi="Arial" w:cs="Arial"/>
        <w:noProof/>
        <w:sz w:val="28"/>
        <w:szCs w:val="28"/>
      </w:rPr>
      <w:t xml:space="preserve">  </w:t>
    </w:r>
    <w:r w:rsidRPr="00F76B67">
      <w:rPr>
        <w:rFonts w:ascii="Arial" w:hAnsi="Arial" w:cs="Arial"/>
        <w:noProof/>
        <w:sz w:val="28"/>
        <w:szCs w:val="28"/>
        <w:lang w:eastAsia="en-GB"/>
      </w:rPr>
      <w:drawing>
        <wp:inline distT="0" distB="0" distL="0" distR="0" wp14:anchorId="232BB794" wp14:editId="4B296FFC">
          <wp:extent cx="1313203" cy="381521"/>
          <wp:effectExtent l="0" t="0" r="1270" b="0"/>
          <wp:docPr id="63" name="Picture 63"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with medium confidence"/>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371504" cy="398459"/>
                  </a:xfrm>
                  <a:prstGeom prst="rect">
                    <a:avLst/>
                  </a:prstGeom>
                  <a:noFill/>
                  <a:ln>
                    <a:noFill/>
                  </a:ln>
                </pic:spPr>
              </pic:pic>
            </a:graphicData>
          </a:graphic>
        </wp:inline>
      </w:drawing>
    </w:r>
    <w:r w:rsidRPr="00F76B67">
      <w:rPr>
        <w:rFonts w:ascii="Arial" w:hAnsi="Arial" w:cs="Arial"/>
        <w:noProof/>
        <w:sz w:val="28"/>
        <w:szCs w:val="28"/>
      </w:rPr>
      <w:t xml:space="preserve">  </w:t>
    </w:r>
    <w:r>
      <w:rPr>
        <w:rFonts w:ascii="Arial" w:hAnsi="Arial" w:cs="Arial"/>
        <w:noProof/>
        <w:sz w:val="28"/>
        <w:szCs w:val="28"/>
      </w:rPr>
      <w:t xml:space="preserve"> </w:t>
    </w:r>
    <w:r>
      <w:rPr>
        <w:rFonts w:ascii="Arial" w:hAnsi="Arial" w:cs="Arial"/>
        <w:noProof/>
        <w:sz w:val="28"/>
        <w:szCs w:val="28"/>
        <w:lang w:eastAsia="en-GB"/>
      </w:rPr>
      <w:drawing>
        <wp:inline distT="0" distB="0" distL="0" distR="0" wp14:anchorId="15F38A61" wp14:editId="56F3E6C2">
          <wp:extent cx="1560853" cy="458651"/>
          <wp:effectExtent l="0" t="0" r="1270" b="0"/>
          <wp:docPr id="64" name="Picture 6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87990" cy="466625"/>
                  </a:xfrm>
                  <a:prstGeom prst="rect">
                    <a:avLst/>
                  </a:prstGeom>
                  <a:noFill/>
                  <a:ln>
                    <a:noFill/>
                  </a:ln>
                </pic:spPr>
              </pic:pic>
            </a:graphicData>
          </a:graphic>
        </wp:inline>
      </w:drawing>
    </w:r>
    <w:r>
      <w:rPr>
        <w:rFonts w:ascii="Arial" w:hAnsi="Arial" w:cs="Arial"/>
        <w:noProof/>
        <w:sz w:val="28"/>
        <w:szCs w:val="28"/>
      </w:rPr>
      <w:t xml:space="preserve"> </w:t>
    </w:r>
    <w:r w:rsidRPr="00F76B67">
      <w:rPr>
        <w:rFonts w:ascii="Arial" w:hAnsi="Arial" w:cs="Arial"/>
        <w:noProof/>
        <w:sz w:val="28"/>
        <w:szCs w:val="28"/>
      </w:rPr>
      <w:t xml:space="preserve">   </w:t>
    </w:r>
  </w:p>
  <w:p w14:paraId="4492CD46" w14:textId="77777777" w:rsidR="003C691D" w:rsidRPr="00F76B67" w:rsidRDefault="003C691D" w:rsidP="003C691D">
    <w:pPr>
      <w:tabs>
        <w:tab w:val="left" w:pos="2589"/>
      </w:tabs>
      <w:rPr>
        <w:rFonts w:ascii="Arial" w:hAnsi="Arial" w:cs="Arial"/>
        <w:sz w:val="28"/>
        <w:szCs w:val="28"/>
      </w:rPr>
    </w:pPr>
  </w:p>
  <w:p w14:paraId="78C1585F" w14:textId="77777777" w:rsidR="003C691D" w:rsidRDefault="003C6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D7BC1"/>
    <w:multiLevelType w:val="hybridMultilevel"/>
    <w:tmpl w:val="B4A0DBFE"/>
    <w:lvl w:ilvl="0" w:tplc="697C503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7030056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91D"/>
    <w:rsid w:val="003058D8"/>
    <w:rsid w:val="003C691D"/>
    <w:rsid w:val="004E4B7A"/>
    <w:rsid w:val="00A67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C3468"/>
  <w15:chartTrackingRefBased/>
  <w15:docId w15:val="{44A7E33F-38AB-44DB-B434-9AD7B9689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91D"/>
    <w:pPr>
      <w:spacing w:after="0" w:line="240" w:lineRule="auto"/>
      <w:ind w:left="720"/>
    </w:pPr>
    <w:rPr>
      <w:rFonts w:ascii="Calibri" w:hAnsi="Calibri" w:cs="Calibri"/>
    </w:rPr>
  </w:style>
  <w:style w:type="paragraph" w:styleId="Header">
    <w:name w:val="header"/>
    <w:basedOn w:val="Normal"/>
    <w:link w:val="HeaderChar"/>
    <w:uiPriority w:val="99"/>
    <w:unhideWhenUsed/>
    <w:rsid w:val="003C6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91D"/>
  </w:style>
  <w:style w:type="paragraph" w:styleId="Footer">
    <w:name w:val="footer"/>
    <w:basedOn w:val="Normal"/>
    <w:link w:val="FooterChar"/>
    <w:uiPriority w:val="99"/>
    <w:unhideWhenUsed/>
    <w:rsid w:val="003C6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91D"/>
  </w:style>
  <w:style w:type="character" w:styleId="Hyperlink">
    <w:name w:val="Hyperlink"/>
    <w:basedOn w:val="DefaultParagraphFont"/>
    <w:uiPriority w:val="99"/>
    <w:unhideWhenUsed/>
    <w:rsid w:val="00A6718A"/>
    <w:rPr>
      <w:color w:val="0563C1" w:themeColor="hyperlink"/>
      <w:u w:val="single"/>
    </w:rPr>
  </w:style>
  <w:style w:type="character" w:styleId="UnresolvedMention">
    <w:name w:val="Unresolved Mention"/>
    <w:basedOn w:val="DefaultParagraphFont"/>
    <w:uiPriority w:val="99"/>
    <w:semiHidden/>
    <w:unhideWhenUsed/>
    <w:rsid w:val="00A671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98899">
      <w:bodyDiv w:val="1"/>
      <w:marLeft w:val="0"/>
      <w:marRight w:val="0"/>
      <w:marTop w:val="0"/>
      <w:marBottom w:val="0"/>
      <w:divBdr>
        <w:top w:val="none" w:sz="0" w:space="0" w:color="auto"/>
        <w:left w:val="none" w:sz="0" w:space="0" w:color="auto"/>
        <w:bottom w:val="none" w:sz="0" w:space="0" w:color="auto"/>
        <w:right w:val="none" w:sz="0" w:space="0" w:color="auto"/>
      </w:divBdr>
    </w:div>
    <w:div w:id="32552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331</Words>
  <Characters>1889</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Arblir Pireva</dc:creator>
  <cp:keywords/>
  <dc:description/>
  <cp:lastModifiedBy>Arblir Pireva</cp:lastModifiedBy>
  <cp:revision>2</cp:revision>
  <dcterms:created xsi:type="dcterms:W3CDTF">2022-07-01T12:43:00Z</dcterms:created>
  <dcterms:modified xsi:type="dcterms:W3CDTF">2022-07-01T12:48:00Z</dcterms:modified>
</cp:coreProperties>
</file>