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19F4" w14:textId="77777777" w:rsidR="00457140" w:rsidRPr="00911924" w:rsidRDefault="00457140" w:rsidP="009C7418">
      <w:pPr>
        <w:spacing w:line="360" w:lineRule="auto"/>
        <w:jc w:val="center"/>
        <w:rPr>
          <w:rFonts w:cstheme="minorHAnsi"/>
          <w:b/>
          <w:sz w:val="32"/>
          <w:szCs w:val="32"/>
          <w:lang w:val="en-GB"/>
        </w:rPr>
      </w:pPr>
      <w:r w:rsidRPr="00911924">
        <w:rPr>
          <w:rFonts w:cstheme="minorHAnsi"/>
          <w:b/>
          <w:sz w:val="32"/>
          <w:szCs w:val="32"/>
          <w:lang w:val="en-GB"/>
        </w:rPr>
        <w:t>Tender Questions and Answers</w:t>
      </w:r>
    </w:p>
    <w:p w14:paraId="05765B67" w14:textId="77777777" w:rsidR="00CE1B56" w:rsidRPr="00911924" w:rsidRDefault="00CE1B56" w:rsidP="00CE1B56">
      <w:pPr>
        <w:pStyle w:val="ListParagraph"/>
        <w:spacing w:after="120"/>
        <w:ind w:left="360"/>
        <w:jc w:val="center"/>
        <w:rPr>
          <w:rStyle w:val="Strong"/>
          <w:rFonts w:ascii="Calibri" w:hAnsi="Calibri" w:cs="Arial"/>
          <w:sz w:val="28"/>
          <w:szCs w:val="28"/>
          <w:lang w:val="en-GB"/>
        </w:rPr>
      </w:pPr>
      <w:r w:rsidRPr="00911924">
        <w:rPr>
          <w:rStyle w:val="Strong"/>
          <w:rFonts w:ascii="Calibri" w:hAnsi="Calibri" w:cs="Arial"/>
          <w:sz w:val="28"/>
          <w:szCs w:val="28"/>
          <w:lang w:val="en-GB"/>
        </w:rPr>
        <w:t>CALL FOR CIVIL SOCIETY ORGANIZATIONS IN KOSOVO</w:t>
      </w:r>
    </w:p>
    <w:p w14:paraId="289D33B2" w14:textId="77777777" w:rsidR="00CE1B56" w:rsidRPr="00911924" w:rsidRDefault="00CE1B56" w:rsidP="00CE1B56">
      <w:pPr>
        <w:pStyle w:val="ListParagraph"/>
        <w:spacing w:after="120"/>
        <w:ind w:left="360"/>
        <w:jc w:val="center"/>
        <w:rPr>
          <w:rStyle w:val="Strong"/>
          <w:rFonts w:ascii="Calibri" w:hAnsi="Calibri" w:cs="Arial"/>
          <w:sz w:val="28"/>
          <w:szCs w:val="28"/>
          <w:lang w:val="en-GB"/>
        </w:rPr>
      </w:pPr>
      <w:r w:rsidRPr="00911924">
        <w:rPr>
          <w:rStyle w:val="Strong"/>
          <w:rFonts w:ascii="Calibri" w:hAnsi="Calibri" w:cs="Arial"/>
          <w:sz w:val="28"/>
          <w:szCs w:val="28"/>
          <w:lang w:val="en-GB"/>
        </w:rPr>
        <w:t>MONITORING MUNICIPAL ASSEMBLIES IN KOSOVO</w:t>
      </w:r>
    </w:p>
    <w:p w14:paraId="31D4ECC3" w14:textId="77777777" w:rsidR="00CE1B56" w:rsidRPr="00911924" w:rsidRDefault="00CE1B56" w:rsidP="00CE1B56">
      <w:pPr>
        <w:pStyle w:val="ListParagraph"/>
        <w:spacing w:after="120"/>
        <w:ind w:left="360"/>
        <w:jc w:val="center"/>
        <w:rPr>
          <w:rStyle w:val="Strong"/>
          <w:rFonts w:ascii="Calibri" w:hAnsi="Calibri" w:cs="Arial"/>
          <w:b w:val="0"/>
          <w:bCs/>
          <w:i/>
          <w:iCs/>
          <w:lang w:val="en-GB"/>
        </w:rPr>
      </w:pPr>
      <w:r w:rsidRPr="00911924">
        <w:rPr>
          <w:rStyle w:val="Strong"/>
          <w:rFonts w:ascii="Calibri" w:hAnsi="Calibri" w:cs="Arial"/>
          <w:bCs/>
          <w:i/>
          <w:iCs/>
          <w:lang w:val="en-GB"/>
        </w:rPr>
        <w:t>for the purpose of awarding the</w:t>
      </w:r>
    </w:p>
    <w:p w14:paraId="508BB80D" w14:textId="77777777" w:rsidR="00CE1B56" w:rsidRPr="00911924" w:rsidRDefault="00CE1B56" w:rsidP="00CE1B56">
      <w:pPr>
        <w:pStyle w:val="ListParagraph"/>
        <w:spacing w:after="120"/>
        <w:ind w:left="360"/>
        <w:jc w:val="center"/>
        <w:rPr>
          <w:rStyle w:val="Strong"/>
          <w:rFonts w:ascii="Calibri" w:hAnsi="Calibri" w:cs="Arial"/>
          <w:sz w:val="28"/>
          <w:szCs w:val="28"/>
          <w:lang w:val="en-GB"/>
        </w:rPr>
      </w:pPr>
      <w:r w:rsidRPr="00911924">
        <w:rPr>
          <w:rStyle w:val="Strong"/>
          <w:rFonts w:ascii="Calibri" w:hAnsi="Calibri" w:cs="Arial"/>
          <w:sz w:val="28"/>
          <w:szCs w:val="28"/>
          <w:lang w:val="en-GB"/>
        </w:rPr>
        <w:t>MOST ACTIVE MUNICIPAL ASSEMBLY MEMBERS</w:t>
      </w:r>
    </w:p>
    <w:p w14:paraId="345ADBEE" w14:textId="77777777" w:rsidR="00CE1B56" w:rsidRPr="00911924" w:rsidRDefault="00CE1B56" w:rsidP="00CE1B56">
      <w:pPr>
        <w:pStyle w:val="ListParagraph"/>
        <w:spacing w:after="120"/>
        <w:ind w:left="360"/>
        <w:rPr>
          <w:rStyle w:val="Strong"/>
          <w:rFonts w:ascii="Calibri" w:hAnsi="Calibri" w:cs="Arial"/>
          <w:sz w:val="28"/>
          <w:szCs w:val="28"/>
          <w:lang w:val="en-GB"/>
        </w:rPr>
      </w:pPr>
    </w:p>
    <w:p w14:paraId="3D80A946" w14:textId="77777777" w:rsidR="00BA0EB0" w:rsidRPr="00911924" w:rsidRDefault="000E5531" w:rsidP="00BA0EB0">
      <w:pPr>
        <w:pStyle w:val="ListParagraph"/>
        <w:numPr>
          <w:ilvl w:val="0"/>
          <w:numId w:val="3"/>
        </w:numPr>
        <w:spacing w:before="100" w:beforeAutospacing="1" w:after="100" w:afterAutospacing="1" w:line="240" w:lineRule="auto"/>
        <w:jc w:val="both"/>
        <w:rPr>
          <w:bCs/>
          <w:color w:val="1F497D" w:themeColor="text2"/>
          <w:lang w:val="en-GB"/>
        </w:rPr>
      </w:pPr>
      <w:r w:rsidRPr="00911924">
        <w:rPr>
          <w:b/>
          <w:color w:val="1F497D" w:themeColor="text2"/>
          <w:u w:val="single"/>
          <w:lang w:val="en-GB"/>
        </w:rPr>
        <w:t>Question:</w:t>
      </w:r>
      <w:r w:rsidRPr="00911924">
        <w:rPr>
          <w:bCs/>
          <w:color w:val="0070C0"/>
          <w:lang w:val="en-GB"/>
        </w:rPr>
        <w:t xml:space="preserve"> </w:t>
      </w:r>
      <w:r w:rsidR="00BA0EB0" w:rsidRPr="00911924">
        <w:rPr>
          <w:bCs/>
          <w:color w:val="1F497D" w:themeColor="text2"/>
          <w:lang w:val="en-GB"/>
        </w:rPr>
        <w:t>Given that the scope of the assignment entails complex activities, it would be helpful to have some indication regarding the available budget. While we understand that proposals will be evaluated based in part on cost-effectiveness, knowing whether there is a price ceiling - or receiving any additional guidance regarding the expected budget range, even if approximate - would assist us in preparing a realistic and competitive proposal.</w:t>
      </w:r>
    </w:p>
    <w:p w14:paraId="5C54F21A" w14:textId="0BEAAFFC" w:rsidR="00612F09" w:rsidRPr="00911924" w:rsidRDefault="00612F09" w:rsidP="00287D19">
      <w:pPr>
        <w:pStyle w:val="ListParagraph"/>
        <w:spacing w:before="100" w:beforeAutospacing="1" w:after="100" w:afterAutospacing="1" w:line="240" w:lineRule="auto"/>
        <w:ind w:left="360"/>
        <w:jc w:val="both"/>
        <w:rPr>
          <w:b/>
          <w:color w:val="C00000"/>
          <w:u w:val="single"/>
          <w:lang w:val="en-GB"/>
        </w:rPr>
      </w:pPr>
    </w:p>
    <w:p w14:paraId="1CEA7AD5" w14:textId="2B030AB1" w:rsidR="0045692F" w:rsidRPr="00911924" w:rsidRDefault="000E5531" w:rsidP="006939F6">
      <w:pPr>
        <w:pStyle w:val="ListParagraph"/>
        <w:spacing w:before="100" w:beforeAutospacing="1" w:after="100" w:afterAutospacing="1" w:line="240" w:lineRule="auto"/>
        <w:ind w:left="360"/>
        <w:jc w:val="both"/>
        <w:rPr>
          <w:lang w:val="en-GB"/>
        </w:rPr>
      </w:pPr>
      <w:r w:rsidRPr="00911924">
        <w:rPr>
          <w:b/>
          <w:color w:val="C00000"/>
          <w:u w:val="single"/>
          <w:lang w:val="en-GB"/>
        </w:rPr>
        <w:t>Answer:</w:t>
      </w:r>
      <w:r w:rsidR="002460E0" w:rsidRPr="00911924">
        <w:rPr>
          <w:lang w:val="en-GB"/>
        </w:rPr>
        <w:t xml:space="preserve"> </w:t>
      </w:r>
      <w:r w:rsidR="006939F6" w:rsidRPr="006939F6">
        <w:rPr>
          <w:color w:val="EE0000"/>
          <w:lang w:val="en-GB"/>
        </w:rPr>
        <w:t xml:space="preserve">Helvetas does not disclose an indicative budget or price ceiling for this </w:t>
      </w:r>
      <w:r w:rsidR="00AD506C">
        <w:rPr>
          <w:color w:val="EE0000"/>
          <w:lang w:val="en-GB"/>
        </w:rPr>
        <w:t>tender</w:t>
      </w:r>
      <w:r w:rsidR="006939F6" w:rsidRPr="006939F6">
        <w:rPr>
          <w:color w:val="EE0000"/>
          <w:lang w:val="en-GB"/>
        </w:rPr>
        <w:t>. Bidders are therefore encouraged to prepare their financial offers based on their proposed methodology, level of effort, and the scope of work outlined in the Terms of Reference. Please note that offers will be evaluated using a weighted scoring system combining technical and financial criteria (70% technical and 30% financial). As such, bidders are encouraged to submit a realistic and cost-effective proposal that reflects the quality and feasibility of the proposed approach.</w:t>
      </w:r>
    </w:p>
    <w:p w14:paraId="33CAA1E9" w14:textId="77777777" w:rsidR="0073575E" w:rsidRPr="00911924" w:rsidRDefault="0073575E" w:rsidP="0073575E">
      <w:pPr>
        <w:pStyle w:val="ListParagraph"/>
        <w:spacing w:before="100" w:beforeAutospacing="1" w:after="100" w:afterAutospacing="1" w:line="240" w:lineRule="auto"/>
        <w:ind w:left="360"/>
        <w:jc w:val="both"/>
        <w:rPr>
          <w:color w:val="EE0000"/>
          <w:lang w:val="en-GB"/>
        </w:rPr>
      </w:pPr>
    </w:p>
    <w:p w14:paraId="1BC1B79C" w14:textId="01570836" w:rsidR="002373E6" w:rsidRPr="00911924" w:rsidRDefault="0045692F" w:rsidP="00287D19">
      <w:pPr>
        <w:pStyle w:val="ListParagraph"/>
        <w:numPr>
          <w:ilvl w:val="0"/>
          <w:numId w:val="3"/>
        </w:numPr>
        <w:spacing w:before="100" w:beforeAutospacing="1" w:after="100" w:afterAutospacing="1" w:line="240" w:lineRule="auto"/>
        <w:jc w:val="both"/>
        <w:rPr>
          <w:bCs/>
          <w:color w:val="1F497D" w:themeColor="text2"/>
          <w:lang w:val="en-GB"/>
        </w:rPr>
      </w:pPr>
      <w:r w:rsidRPr="00911924">
        <w:rPr>
          <w:b/>
          <w:color w:val="1F497D" w:themeColor="text2"/>
          <w:u w:val="single"/>
          <w:lang w:val="en-GB"/>
        </w:rPr>
        <w:t>Question:</w:t>
      </w:r>
      <w:r w:rsidR="00F713A8" w:rsidRPr="00911924">
        <w:rPr>
          <w:b/>
          <w:color w:val="1F497D" w:themeColor="text2"/>
          <w:lang w:val="en-GB"/>
        </w:rPr>
        <w:t xml:space="preserve"> </w:t>
      </w:r>
      <w:r w:rsidR="00287D19" w:rsidRPr="00911924">
        <w:rPr>
          <w:bCs/>
          <w:color w:val="1F497D" w:themeColor="text2"/>
          <w:lang w:val="en-GB"/>
        </w:rPr>
        <w:t>Can NGO-</w:t>
      </w:r>
      <w:r w:rsidR="00052D63" w:rsidRPr="00911924">
        <w:rPr>
          <w:bCs/>
          <w:color w:val="1F497D" w:themeColor="text2"/>
          <w:lang w:val="en-GB"/>
        </w:rPr>
        <w:t>xxx</w:t>
      </w:r>
      <w:r w:rsidR="00287D19" w:rsidRPr="00911924">
        <w:rPr>
          <w:bCs/>
          <w:color w:val="1F497D" w:themeColor="text2"/>
          <w:lang w:val="en-GB"/>
        </w:rPr>
        <w:t xml:space="preserve"> apply alone to monitor the Municipal Assembly in </w:t>
      </w:r>
      <w:proofErr w:type="spellStart"/>
      <w:r w:rsidR="00052D63" w:rsidRPr="00911924">
        <w:rPr>
          <w:bCs/>
          <w:color w:val="1F497D" w:themeColor="text2"/>
          <w:lang w:val="en-GB"/>
        </w:rPr>
        <w:t>xxxx</w:t>
      </w:r>
      <w:proofErr w:type="spellEnd"/>
      <w:r w:rsidR="00287D19" w:rsidRPr="00911924">
        <w:rPr>
          <w:bCs/>
          <w:color w:val="1F497D" w:themeColor="text2"/>
          <w:lang w:val="en-GB"/>
        </w:rPr>
        <w:t xml:space="preserve"> or is this call to monitor 38 municipalities in Kosovo? Please, if you have the opportunity, inform us about our question, or otherwise, we are informing you that NGO-</w:t>
      </w:r>
      <w:proofErr w:type="spellStart"/>
      <w:r w:rsidR="00052D63" w:rsidRPr="00911924">
        <w:rPr>
          <w:bCs/>
          <w:color w:val="1F497D" w:themeColor="text2"/>
          <w:lang w:val="en-GB"/>
        </w:rPr>
        <w:t>Xxxx</w:t>
      </w:r>
      <w:proofErr w:type="spellEnd"/>
      <w:r w:rsidR="00287D19" w:rsidRPr="00911924">
        <w:rPr>
          <w:bCs/>
          <w:color w:val="1F497D" w:themeColor="text2"/>
          <w:lang w:val="en-GB"/>
        </w:rPr>
        <w:t xml:space="preserve"> has been monitoring the work of the Municipal Assembly for many years and we express our willingness to be at your disposal.</w:t>
      </w:r>
    </w:p>
    <w:p w14:paraId="7DB59DDC" w14:textId="77777777" w:rsidR="00287D19" w:rsidRPr="00911924" w:rsidRDefault="00287D19" w:rsidP="00287D19">
      <w:pPr>
        <w:pStyle w:val="ListParagraph"/>
        <w:spacing w:before="100" w:beforeAutospacing="1" w:after="100" w:afterAutospacing="1" w:line="240" w:lineRule="auto"/>
        <w:ind w:left="360"/>
        <w:jc w:val="both"/>
        <w:rPr>
          <w:bCs/>
          <w:color w:val="1F497D" w:themeColor="text2"/>
          <w:lang w:val="en-GB"/>
        </w:rPr>
      </w:pPr>
    </w:p>
    <w:p w14:paraId="5F271965" w14:textId="00AAB834" w:rsidR="00DD3E6E" w:rsidRPr="00911924" w:rsidRDefault="00702077" w:rsidP="41DA6DAA">
      <w:pPr>
        <w:pStyle w:val="ListParagraph"/>
        <w:spacing w:before="100" w:beforeAutospacing="1" w:after="100" w:afterAutospacing="1" w:line="240" w:lineRule="auto"/>
        <w:ind w:left="360"/>
        <w:jc w:val="both"/>
        <w:rPr>
          <w:b/>
          <w:bCs/>
          <w:color w:val="C00000"/>
          <w:lang w:val="en-GB"/>
        </w:rPr>
      </w:pPr>
      <w:r w:rsidRPr="41DA6DAA">
        <w:rPr>
          <w:b/>
          <w:bCs/>
          <w:color w:val="C00000"/>
          <w:u w:val="single"/>
          <w:lang w:val="en-GB"/>
        </w:rPr>
        <w:t>Answer:</w:t>
      </w:r>
      <w:r w:rsidR="00DD3E6E" w:rsidRPr="41DA6DAA">
        <w:rPr>
          <w:b/>
          <w:bCs/>
          <w:color w:val="C00000"/>
          <w:lang w:val="en-GB"/>
        </w:rPr>
        <w:t xml:space="preserve"> </w:t>
      </w:r>
      <w:r w:rsidR="00052D63" w:rsidRPr="41DA6DAA">
        <w:rPr>
          <w:b/>
          <w:bCs/>
          <w:color w:val="C00000"/>
          <w:lang w:val="en-GB"/>
        </w:rPr>
        <w:t xml:space="preserve"> </w:t>
      </w:r>
      <w:r w:rsidR="00052D63" w:rsidRPr="41DA6DAA">
        <w:rPr>
          <w:color w:val="C00000"/>
          <w:lang w:val="en-GB"/>
        </w:rPr>
        <w:t xml:space="preserve">As outlined in the Request for Proposals (RfP) and the Terms of Reference (ToR), the assignment covers the monitoring of Municipal Assemblies across </w:t>
      </w:r>
      <w:r w:rsidR="00052D63" w:rsidRPr="41DA6DAA">
        <w:rPr>
          <w:b/>
          <w:bCs/>
          <w:color w:val="C00000"/>
          <w:lang w:val="en-GB"/>
        </w:rPr>
        <w:t>all 38 municipalities in Kosovo</w:t>
      </w:r>
      <w:r w:rsidR="00052D63" w:rsidRPr="41DA6DAA">
        <w:rPr>
          <w:color w:val="C00000"/>
          <w:lang w:val="en-GB"/>
        </w:rPr>
        <w:t xml:space="preserve">. Therefore, the call is not intended for monitoring </w:t>
      </w:r>
      <w:r w:rsidR="3AB0C791" w:rsidRPr="41DA6DAA">
        <w:rPr>
          <w:color w:val="C00000"/>
          <w:lang w:val="en-GB"/>
        </w:rPr>
        <w:t>only specific</w:t>
      </w:r>
      <w:r w:rsidR="00052D63" w:rsidRPr="41DA6DAA">
        <w:rPr>
          <w:color w:val="C00000"/>
          <w:lang w:val="en-GB"/>
        </w:rPr>
        <w:t xml:space="preserve"> municipalities but for implementing the monitoring framework nationwide.</w:t>
      </w:r>
    </w:p>
    <w:p w14:paraId="35B3459B" w14:textId="77777777" w:rsidR="00287D19" w:rsidRPr="00911924" w:rsidRDefault="00287D19" w:rsidP="00C22AB4">
      <w:pPr>
        <w:pStyle w:val="ListParagraph"/>
        <w:spacing w:before="100" w:beforeAutospacing="1" w:after="100" w:afterAutospacing="1" w:line="240" w:lineRule="auto"/>
        <w:ind w:left="360"/>
        <w:jc w:val="both"/>
        <w:rPr>
          <w:b/>
          <w:color w:val="C00000"/>
          <w:lang w:val="en-GB"/>
        </w:rPr>
      </w:pPr>
    </w:p>
    <w:p w14:paraId="643BCC03" w14:textId="50B65AFE" w:rsidR="00287D19" w:rsidRPr="00911924" w:rsidRDefault="00287D19" w:rsidP="00287D19">
      <w:pPr>
        <w:pStyle w:val="ListParagraph"/>
        <w:numPr>
          <w:ilvl w:val="0"/>
          <w:numId w:val="3"/>
        </w:numPr>
        <w:spacing w:before="100" w:beforeAutospacing="1" w:after="100" w:afterAutospacing="1" w:line="240" w:lineRule="auto"/>
        <w:jc w:val="both"/>
        <w:rPr>
          <w:bCs/>
          <w:color w:val="1F497D" w:themeColor="text2"/>
          <w:lang w:val="en-GB"/>
        </w:rPr>
      </w:pPr>
      <w:r w:rsidRPr="00911924">
        <w:rPr>
          <w:b/>
          <w:color w:val="1F497D" w:themeColor="text2"/>
          <w:u w:val="single"/>
          <w:lang w:val="en-GB"/>
        </w:rPr>
        <w:t>Question:</w:t>
      </w:r>
      <w:r w:rsidRPr="00911924">
        <w:rPr>
          <w:b/>
          <w:color w:val="1F497D" w:themeColor="text2"/>
          <w:lang w:val="en-GB"/>
        </w:rPr>
        <w:t xml:space="preserve"> </w:t>
      </w:r>
      <w:r w:rsidR="00176665" w:rsidRPr="00911924">
        <w:rPr>
          <w:bCs/>
          <w:color w:val="1F497D" w:themeColor="text2"/>
          <w:lang w:val="en-GB"/>
        </w:rPr>
        <w:t>According to the financial offer template, the Monitoring and Evaluation component is structured per municipality (38 units), and the ToR specifies that payment will be made only for municipalities that actively participate in the monitoring process. Considering that municipalities differ in the number of Municipal Assembly members based on the criteria applied by the Ministry of Local Government Administration (MLGA), which determines assembly size according to population (approximately 15 to 51 members), and that this may influence the monitoring workload, could Helvetas kindly clarify whether bidders are expected to apply the same unit price for all municipalities or whether differentiation based on municipality size categories would also be acceptable?</w:t>
      </w:r>
    </w:p>
    <w:p w14:paraId="650E889F" w14:textId="77777777" w:rsidR="00287D19" w:rsidRPr="00911924" w:rsidRDefault="00287D19" w:rsidP="00287D19">
      <w:pPr>
        <w:pStyle w:val="ListParagraph"/>
        <w:spacing w:before="100" w:beforeAutospacing="1" w:after="100" w:afterAutospacing="1" w:line="240" w:lineRule="auto"/>
        <w:ind w:left="360"/>
        <w:jc w:val="both"/>
        <w:rPr>
          <w:bCs/>
          <w:color w:val="1F497D" w:themeColor="text2"/>
          <w:lang w:val="en-GB"/>
        </w:rPr>
      </w:pPr>
    </w:p>
    <w:p w14:paraId="799C2D6D" w14:textId="7C3DFEF5" w:rsidR="00287D19" w:rsidRPr="00911924" w:rsidRDefault="00287D19" w:rsidP="00052D63">
      <w:pPr>
        <w:pStyle w:val="ListParagraph"/>
        <w:spacing w:before="100" w:beforeAutospacing="1" w:after="100" w:afterAutospacing="1" w:line="240" w:lineRule="auto"/>
        <w:ind w:left="360"/>
        <w:jc w:val="both"/>
        <w:rPr>
          <w:bCs/>
          <w:color w:val="C00000"/>
          <w:lang w:val="en-GB"/>
        </w:rPr>
      </w:pPr>
      <w:r w:rsidRPr="00911924">
        <w:rPr>
          <w:b/>
          <w:color w:val="C00000"/>
          <w:u w:val="single"/>
          <w:lang w:val="en-GB"/>
        </w:rPr>
        <w:t>Answer:</w:t>
      </w:r>
      <w:r w:rsidRPr="00911924">
        <w:rPr>
          <w:b/>
          <w:color w:val="C00000"/>
          <w:lang w:val="en-GB"/>
        </w:rPr>
        <w:t xml:space="preserve"> </w:t>
      </w:r>
      <w:r w:rsidR="00052D63" w:rsidRPr="00911924">
        <w:rPr>
          <w:b/>
          <w:color w:val="C00000"/>
          <w:lang w:val="en-GB"/>
        </w:rPr>
        <w:t xml:space="preserve"> </w:t>
      </w:r>
      <w:r w:rsidR="00D97BE6">
        <w:rPr>
          <w:bCs/>
          <w:color w:val="C00000"/>
          <w:lang w:val="en-GB"/>
        </w:rPr>
        <w:t>I</w:t>
      </w:r>
      <w:r w:rsidR="00052D63" w:rsidRPr="00911924">
        <w:rPr>
          <w:bCs/>
          <w:color w:val="C00000"/>
          <w:lang w:val="en-GB"/>
        </w:rPr>
        <w:t>n Annex 4: Draft Methodology on Monitoring and Rewarding the Most Active Municipal Assembly Members, under the section Scope and Monitoring, municipalities are to be  categorized into large</w:t>
      </w:r>
      <w:r w:rsidR="009E323B">
        <w:rPr>
          <w:bCs/>
          <w:color w:val="C00000"/>
          <w:lang w:val="en-GB"/>
        </w:rPr>
        <w:t xml:space="preserve"> (</w:t>
      </w:r>
      <w:r w:rsidR="00EF7B43">
        <w:rPr>
          <w:bCs/>
          <w:color w:val="C00000"/>
          <w:lang w:val="en-GB"/>
        </w:rPr>
        <w:t xml:space="preserve">7 municipalities </w:t>
      </w:r>
      <w:r w:rsidR="008F7A4E">
        <w:rPr>
          <w:bCs/>
          <w:color w:val="C00000"/>
          <w:lang w:val="en-GB"/>
        </w:rPr>
        <w:t xml:space="preserve">– from 35 to </w:t>
      </w:r>
      <w:r w:rsidR="00606DF8">
        <w:rPr>
          <w:bCs/>
          <w:color w:val="C00000"/>
          <w:lang w:val="en-GB"/>
        </w:rPr>
        <w:t>51 MA members)</w:t>
      </w:r>
      <w:r w:rsidR="00052D63" w:rsidRPr="00911924">
        <w:rPr>
          <w:bCs/>
          <w:color w:val="C00000"/>
          <w:lang w:val="en-GB"/>
        </w:rPr>
        <w:t>, medium</w:t>
      </w:r>
      <w:r w:rsidR="00606DF8">
        <w:rPr>
          <w:bCs/>
          <w:color w:val="C00000"/>
          <w:lang w:val="en-GB"/>
        </w:rPr>
        <w:t xml:space="preserve"> (</w:t>
      </w:r>
      <w:r w:rsidR="0021259C">
        <w:rPr>
          <w:bCs/>
          <w:color w:val="C00000"/>
          <w:lang w:val="en-GB"/>
        </w:rPr>
        <w:t xml:space="preserve">12 municipalities – from </w:t>
      </w:r>
      <w:r w:rsidR="004669ED">
        <w:rPr>
          <w:bCs/>
          <w:color w:val="C00000"/>
          <w:lang w:val="en-GB"/>
        </w:rPr>
        <w:t xml:space="preserve">27 </w:t>
      </w:r>
      <w:r w:rsidR="00634A32">
        <w:rPr>
          <w:bCs/>
          <w:color w:val="C00000"/>
          <w:lang w:val="en-GB"/>
        </w:rPr>
        <w:t xml:space="preserve">to 31 </w:t>
      </w:r>
      <w:r w:rsidR="00634A32">
        <w:rPr>
          <w:bCs/>
          <w:color w:val="C00000"/>
          <w:lang w:val="en-GB"/>
        </w:rPr>
        <w:lastRenderedPageBreak/>
        <w:t>members)</w:t>
      </w:r>
      <w:r w:rsidR="00052D63" w:rsidRPr="00911924">
        <w:rPr>
          <w:bCs/>
          <w:color w:val="C00000"/>
          <w:lang w:val="en-GB"/>
        </w:rPr>
        <w:t>, and small</w:t>
      </w:r>
      <w:r w:rsidR="0027017C">
        <w:rPr>
          <w:bCs/>
          <w:color w:val="C00000"/>
          <w:lang w:val="en-GB"/>
        </w:rPr>
        <w:t xml:space="preserve"> (19 municipalities – from </w:t>
      </w:r>
      <w:r w:rsidR="00DB0F77">
        <w:rPr>
          <w:bCs/>
          <w:color w:val="C00000"/>
          <w:lang w:val="en-GB"/>
        </w:rPr>
        <w:t>15 to 21 members)</w:t>
      </w:r>
      <w:r w:rsidR="00FE71B8">
        <w:rPr>
          <w:rStyle w:val="FootnoteReference"/>
          <w:bCs/>
          <w:color w:val="C00000"/>
          <w:lang w:val="en-GB"/>
        </w:rPr>
        <w:footnoteReference w:id="1"/>
      </w:r>
      <w:r w:rsidR="00DB0F77">
        <w:rPr>
          <w:bCs/>
          <w:color w:val="C00000"/>
          <w:lang w:val="en-GB"/>
        </w:rPr>
        <w:t>.</w:t>
      </w:r>
      <w:r w:rsidR="009E323B">
        <w:rPr>
          <w:bCs/>
          <w:color w:val="C00000"/>
          <w:lang w:val="en-GB"/>
        </w:rPr>
        <w:t xml:space="preserve"> </w:t>
      </w:r>
      <w:r w:rsidR="00052D63" w:rsidRPr="00911924">
        <w:rPr>
          <w:bCs/>
          <w:color w:val="C00000"/>
          <w:lang w:val="en-GB"/>
        </w:rPr>
        <w:t>For this purpose, bidders may calculate and reflect the respective costs for these three categories in the financial offer. The financial offer template has therefore been amended accordingly and attached as “</w:t>
      </w:r>
      <w:r w:rsidR="00052D63" w:rsidRPr="00911924">
        <w:rPr>
          <w:b/>
          <w:color w:val="C00000"/>
          <w:u w:val="single"/>
          <w:lang w:val="en-GB"/>
        </w:rPr>
        <w:t>Amended Part 2 – Financial Offer</w:t>
      </w:r>
      <w:r w:rsidR="00052D63" w:rsidRPr="00911924">
        <w:rPr>
          <w:bCs/>
          <w:color w:val="C00000"/>
          <w:lang w:val="en-GB"/>
        </w:rPr>
        <w:t>.”</w:t>
      </w:r>
    </w:p>
    <w:p w14:paraId="288B3DB9" w14:textId="77777777" w:rsidR="00176665" w:rsidRPr="00911924" w:rsidRDefault="00176665" w:rsidP="00287D19">
      <w:pPr>
        <w:pStyle w:val="ListParagraph"/>
        <w:spacing w:before="100" w:beforeAutospacing="1" w:after="100" w:afterAutospacing="1" w:line="240" w:lineRule="auto"/>
        <w:ind w:left="360"/>
        <w:jc w:val="both"/>
        <w:rPr>
          <w:b/>
          <w:color w:val="C00000"/>
          <w:lang w:val="en-GB"/>
        </w:rPr>
      </w:pPr>
    </w:p>
    <w:p w14:paraId="0DDBDE4C" w14:textId="77777777" w:rsidR="0004247D" w:rsidRPr="00911924" w:rsidRDefault="00176665" w:rsidP="0004247D">
      <w:pPr>
        <w:pStyle w:val="ListParagraph"/>
        <w:numPr>
          <w:ilvl w:val="0"/>
          <w:numId w:val="3"/>
        </w:numPr>
        <w:spacing w:before="100" w:beforeAutospacing="1" w:after="100" w:afterAutospacing="1" w:line="240" w:lineRule="auto"/>
        <w:rPr>
          <w:bCs/>
          <w:color w:val="1F497D" w:themeColor="text2"/>
          <w:lang w:val="en-GB"/>
        </w:rPr>
      </w:pPr>
      <w:r w:rsidRPr="00911924">
        <w:rPr>
          <w:b/>
          <w:color w:val="1F497D" w:themeColor="text2"/>
          <w:u w:val="single"/>
          <w:lang w:val="en-GB"/>
        </w:rPr>
        <w:t>Question:</w:t>
      </w:r>
      <w:r w:rsidRPr="00911924">
        <w:rPr>
          <w:b/>
          <w:color w:val="1F497D" w:themeColor="text2"/>
          <w:lang w:val="en-GB"/>
        </w:rPr>
        <w:t xml:space="preserve"> </w:t>
      </w:r>
      <w:r w:rsidR="0004247D" w:rsidRPr="00911924">
        <w:rPr>
          <w:bCs/>
          <w:color w:val="1F497D" w:themeColor="text2"/>
          <w:lang w:val="en-GB"/>
        </w:rPr>
        <w:t>As part of our approach, we are planning to form a consortium that includes several local CSOs. Many smaller community-based organisations in Kosovo operate with annual budgets below EUR 200,000 and often do not conduct external audits, as external audits are not required for many smaller NGOs.</w:t>
      </w:r>
    </w:p>
    <w:p w14:paraId="46EBB6F1" w14:textId="77777777" w:rsidR="0004247D" w:rsidRPr="00911924" w:rsidRDefault="0004247D" w:rsidP="0004247D">
      <w:pPr>
        <w:pStyle w:val="ListParagraph"/>
        <w:spacing w:before="100" w:beforeAutospacing="1" w:after="100" w:afterAutospacing="1"/>
        <w:ind w:left="360"/>
        <w:rPr>
          <w:bCs/>
          <w:color w:val="1F497D" w:themeColor="text2"/>
          <w:lang w:val="en-GB"/>
        </w:rPr>
      </w:pPr>
      <w:r w:rsidRPr="00911924">
        <w:rPr>
          <w:bCs/>
          <w:color w:val="1F497D" w:themeColor="text2"/>
          <w:lang w:val="en-GB"/>
        </w:rPr>
        <w:t>Considering this, we would appreciate clarification on how the minimum turnover requirement of EUR 200,000 should be interpreted in the case of a consortium. Specifically, should each consortium partner individually meet the EUR 200,000 annual turnover requirement, or is it sufficient that this threshold is met collectively at the consortium level (for example, primarily by the lead organisation, together with consortium members)?</w:t>
      </w:r>
    </w:p>
    <w:p w14:paraId="5BD61144" w14:textId="77777777" w:rsidR="0004247D" w:rsidRPr="00911924" w:rsidRDefault="0004247D" w:rsidP="0004247D">
      <w:pPr>
        <w:pStyle w:val="ListParagraph"/>
        <w:spacing w:before="100" w:beforeAutospacing="1" w:after="100" w:afterAutospacing="1"/>
        <w:ind w:left="360"/>
        <w:jc w:val="both"/>
        <w:rPr>
          <w:bCs/>
          <w:color w:val="1F497D" w:themeColor="text2"/>
          <w:lang w:val="en-GB"/>
        </w:rPr>
      </w:pPr>
      <w:r w:rsidRPr="00911924">
        <w:rPr>
          <w:bCs/>
          <w:color w:val="1F497D" w:themeColor="text2"/>
          <w:lang w:val="en-GB"/>
        </w:rPr>
        <w:t>Similarly, we would appreciate clarification regarding the requirement for audit reports. Should audit reports be submitted by each consortium partner, or would it be sufficient that the lead organisation provides audited financial statements while other consortium partners submit their available financial statements or tax reports?</w:t>
      </w:r>
    </w:p>
    <w:p w14:paraId="28F64D9B" w14:textId="77777777" w:rsidR="00176665" w:rsidRPr="00911924" w:rsidRDefault="00176665" w:rsidP="0004247D">
      <w:pPr>
        <w:pStyle w:val="ListParagraph"/>
        <w:spacing w:before="100" w:beforeAutospacing="1" w:after="100" w:afterAutospacing="1" w:line="240" w:lineRule="auto"/>
        <w:ind w:left="360"/>
        <w:jc w:val="both"/>
        <w:rPr>
          <w:bCs/>
          <w:color w:val="1F497D" w:themeColor="text2"/>
          <w:lang w:val="en-GB"/>
        </w:rPr>
      </w:pPr>
    </w:p>
    <w:p w14:paraId="2575C744" w14:textId="77777777" w:rsidR="00911924" w:rsidRDefault="00176665" w:rsidP="00911924">
      <w:pPr>
        <w:pStyle w:val="ListParagraph"/>
        <w:spacing w:before="100" w:beforeAutospacing="1" w:after="100" w:afterAutospacing="1" w:line="240" w:lineRule="auto"/>
        <w:ind w:left="360"/>
        <w:jc w:val="both"/>
        <w:rPr>
          <w:bCs/>
          <w:color w:val="C00000"/>
          <w:lang w:val="en-GB"/>
        </w:rPr>
      </w:pPr>
      <w:r w:rsidRPr="00911924">
        <w:rPr>
          <w:b/>
          <w:color w:val="C00000"/>
          <w:u w:val="single"/>
          <w:lang w:val="en-GB"/>
        </w:rPr>
        <w:t>Answer:</w:t>
      </w:r>
      <w:r w:rsidRPr="00911924">
        <w:rPr>
          <w:b/>
          <w:color w:val="C00000"/>
          <w:lang w:val="en-GB"/>
        </w:rPr>
        <w:t xml:space="preserve"> </w:t>
      </w:r>
      <w:r w:rsidR="00911924" w:rsidRPr="00911924">
        <w:rPr>
          <w:b/>
          <w:color w:val="C00000"/>
          <w:lang w:val="en-GB"/>
        </w:rPr>
        <w:t xml:space="preserve"> </w:t>
      </w:r>
      <w:r w:rsidR="00911924" w:rsidRPr="00911924">
        <w:rPr>
          <w:bCs/>
          <w:color w:val="C00000"/>
          <w:lang w:val="en-GB"/>
        </w:rPr>
        <w:t xml:space="preserve">The minimum annual turnover requirement of </w:t>
      </w:r>
      <w:r w:rsidR="00911924" w:rsidRPr="00911924">
        <w:rPr>
          <w:b/>
          <w:color w:val="C00000"/>
          <w:lang w:val="en-GB"/>
        </w:rPr>
        <w:t>EUR 200,000</w:t>
      </w:r>
      <w:r w:rsidR="00911924" w:rsidRPr="00911924">
        <w:rPr>
          <w:bCs/>
          <w:color w:val="C00000"/>
          <w:lang w:val="en-GB"/>
        </w:rPr>
        <w:t xml:space="preserve"> refers to the financial capacity of the </w:t>
      </w:r>
      <w:r w:rsidR="00911924" w:rsidRPr="00911924">
        <w:rPr>
          <w:b/>
          <w:color w:val="C00000"/>
          <w:lang w:val="en-GB"/>
        </w:rPr>
        <w:t xml:space="preserve">applicant </w:t>
      </w:r>
      <w:r w:rsidR="00911924" w:rsidRPr="00911924">
        <w:rPr>
          <w:bCs/>
          <w:color w:val="C00000"/>
          <w:lang w:val="en-GB"/>
        </w:rPr>
        <w:t xml:space="preserve">over the past three years (2023, 2024, and 2025) when applying </w:t>
      </w:r>
      <w:r w:rsidR="00911924" w:rsidRPr="00911924">
        <w:rPr>
          <w:b/>
          <w:color w:val="C00000"/>
          <w:lang w:val="en-GB"/>
        </w:rPr>
        <w:t>as a sole organisation</w:t>
      </w:r>
      <w:r w:rsidR="00911924" w:rsidRPr="00911924">
        <w:rPr>
          <w:bCs/>
          <w:color w:val="C00000"/>
          <w:lang w:val="en-GB"/>
        </w:rPr>
        <w:t>.</w:t>
      </w:r>
    </w:p>
    <w:p w14:paraId="4EE661CD" w14:textId="77777777" w:rsidR="00911924" w:rsidRPr="00911924" w:rsidRDefault="00911924" w:rsidP="00911924">
      <w:pPr>
        <w:pStyle w:val="ListParagraph"/>
        <w:spacing w:before="100" w:beforeAutospacing="1" w:after="100" w:afterAutospacing="1" w:line="240" w:lineRule="auto"/>
        <w:ind w:left="360"/>
        <w:jc w:val="both"/>
        <w:rPr>
          <w:bCs/>
          <w:color w:val="C00000"/>
          <w:lang w:val="en-GB"/>
        </w:rPr>
      </w:pPr>
    </w:p>
    <w:p w14:paraId="2F3362CA" w14:textId="77777777" w:rsidR="00911924" w:rsidRPr="00911924" w:rsidRDefault="00911924" w:rsidP="00911924">
      <w:pPr>
        <w:pStyle w:val="ListParagraph"/>
        <w:spacing w:before="100" w:beforeAutospacing="1" w:after="100" w:afterAutospacing="1" w:line="240" w:lineRule="auto"/>
        <w:ind w:left="360"/>
        <w:jc w:val="both"/>
        <w:rPr>
          <w:bCs/>
          <w:color w:val="C00000"/>
          <w:lang w:val="en-GB"/>
        </w:rPr>
      </w:pPr>
      <w:r w:rsidRPr="00911924">
        <w:rPr>
          <w:bCs/>
          <w:color w:val="C00000"/>
          <w:lang w:val="en-GB"/>
        </w:rPr>
        <w:t xml:space="preserve">In the case of a consortium application, this requirement applies </w:t>
      </w:r>
      <w:r w:rsidRPr="00911924">
        <w:rPr>
          <w:b/>
          <w:color w:val="C00000"/>
          <w:lang w:val="en-GB"/>
        </w:rPr>
        <w:t>only to the lead applicant</w:t>
      </w:r>
      <w:r w:rsidRPr="00911924">
        <w:rPr>
          <w:bCs/>
          <w:color w:val="C00000"/>
          <w:lang w:val="en-GB"/>
        </w:rPr>
        <w:t>. Other consortium members are not required to meet the same minimum turnover threshold individually.</w:t>
      </w:r>
    </w:p>
    <w:p w14:paraId="7A3A11D6" w14:textId="6954E850" w:rsidR="00911924" w:rsidRDefault="00911924" w:rsidP="00911924">
      <w:pPr>
        <w:pStyle w:val="ListParagraph"/>
        <w:spacing w:before="100" w:beforeAutospacing="1" w:after="100" w:afterAutospacing="1" w:line="240" w:lineRule="auto"/>
        <w:ind w:left="360"/>
        <w:jc w:val="both"/>
        <w:rPr>
          <w:bCs/>
          <w:color w:val="C00000"/>
          <w:lang w:val="en-GB"/>
        </w:rPr>
      </w:pPr>
      <w:r w:rsidRPr="00911924">
        <w:rPr>
          <w:bCs/>
          <w:color w:val="C00000"/>
          <w:lang w:val="en-GB"/>
        </w:rPr>
        <w:t xml:space="preserve">Regarding the submission of </w:t>
      </w:r>
      <w:r w:rsidRPr="00911924">
        <w:rPr>
          <w:b/>
          <w:color w:val="C00000"/>
          <w:lang w:val="en-GB"/>
        </w:rPr>
        <w:t>audit reports</w:t>
      </w:r>
      <w:r w:rsidRPr="00911924">
        <w:rPr>
          <w:bCs/>
          <w:color w:val="C00000"/>
          <w:lang w:val="en-GB"/>
        </w:rPr>
        <w:t xml:space="preserve">, the lead applicant </w:t>
      </w:r>
      <w:r>
        <w:rPr>
          <w:bCs/>
          <w:color w:val="C00000"/>
          <w:lang w:val="en-GB"/>
        </w:rPr>
        <w:t>will be required to</w:t>
      </w:r>
      <w:r w:rsidRPr="00911924">
        <w:rPr>
          <w:bCs/>
          <w:color w:val="C00000"/>
          <w:lang w:val="en-GB"/>
        </w:rPr>
        <w:t xml:space="preserve"> provide audited financial statements. Other </w:t>
      </w:r>
      <w:r w:rsidRPr="00911924">
        <w:rPr>
          <w:bCs/>
          <w:color w:val="C00000"/>
          <w:u w:val="single"/>
          <w:lang w:val="en-GB"/>
        </w:rPr>
        <w:t>consortium members</w:t>
      </w:r>
      <w:r w:rsidRPr="00911924">
        <w:rPr>
          <w:bCs/>
          <w:color w:val="C00000"/>
          <w:lang w:val="en-GB"/>
        </w:rPr>
        <w:t xml:space="preserve"> may submit their available financial statements or relevant financial documentation, such as tax reports, if audited financial statements are not available. Helvetas </w:t>
      </w:r>
      <w:r>
        <w:rPr>
          <w:bCs/>
          <w:color w:val="C00000"/>
          <w:lang w:val="en-GB"/>
        </w:rPr>
        <w:t xml:space="preserve">still </w:t>
      </w:r>
      <w:r w:rsidRPr="00911924">
        <w:rPr>
          <w:bCs/>
          <w:color w:val="C00000"/>
          <w:lang w:val="en-GB"/>
        </w:rPr>
        <w:t>reserves the right to request an audit report if an organisation meets the legal threshold requiring external audits.</w:t>
      </w:r>
    </w:p>
    <w:p w14:paraId="5AE3ED0A" w14:textId="77777777" w:rsidR="00911924" w:rsidRPr="00911924" w:rsidRDefault="00911924" w:rsidP="00911924">
      <w:pPr>
        <w:pStyle w:val="ListParagraph"/>
        <w:spacing w:before="100" w:beforeAutospacing="1" w:after="100" w:afterAutospacing="1" w:line="240" w:lineRule="auto"/>
        <w:ind w:left="360"/>
        <w:jc w:val="both"/>
        <w:rPr>
          <w:bCs/>
          <w:color w:val="C00000"/>
          <w:lang w:val="en-GB"/>
        </w:rPr>
      </w:pPr>
    </w:p>
    <w:p w14:paraId="6F7558CC" w14:textId="132339E6" w:rsidR="00FB199B" w:rsidRPr="00911924" w:rsidRDefault="00911924" w:rsidP="00911924">
      <w:pPr>
        <w:pStyle w:val="ListParagraph"/>
        <w:spacing w:before="100" w:beforeAutospacing="1" w:after="100" w:afterAutospacing="1" w:line="240" w:lineRule="auto"/>
        <w:ind w:left="360"/>
        <w:jc w:val="both"/>
        <w:rPr>
          <w:bCs/>
          <w:color w:val="C00000"/>
          <w:lang w:val="en-GB"/>
        </w:rPr>
      </w:pPr>
      <w:r w:rsidRPr="00911924">
        <w:rPr>
          <w:bCs/>
          <w:color w:val="C00000"/>
          <w:lang w:val="en-GB"/>
        </w:rPr>
        <w:t xml:space="preserve">However, at this stage there is no need to submit the supporting documents listed under the </w:t>
      </w:r>
      <w:r w:rsidRPr="00911924">
        <w:rPr>
          <w:b/>
          <w:color w:val="C00000"/>
          <w:u w:val="single"/>
          <w:lang w:val="en-GB"/>
        </w:rPr>
        <w:t>Eligibility Documentation Form</w:t>
      </w:r>
      <w:r>
        <w:rPr>
          <w:b/>
          <w:color w:val="C00000"/>
          <w:lang w:val="en-GB"/>
        </w:rPr>
        <w:t>, where only signed statement is valid and required</w:t>
      </w:r>
      <w:r w:rsidRPr="00911924">
        <w:rPr>
          <w:bCs/>
          <w:color w:val="C00000"/>
          <w:lang w:val="en-GB"/>
        </w:rPr>
        <w:t>. These documents will be requested only from the winning bidder during the contracting stage.</w:t>
      </w:r>
    </w:p>
    <w:p w14:paraId="65FDA1B6" w14:textId="77777777" w:rsidR="00FB199B" w:rsidRPr="00911924" w:rsidRDefault="00FB199B" w:rsidP="00FB199B">
      <w:pPr>
        <w:pStyle w:val="ListParagraph"/>
        <w:spacing w:before="100" w:beforeAutospacing="1" w:after="100" w:afterAutospacing="1" w:line="240" w:lineRule="auto"/>
        <w:ind w:left="360"/>
        <w:jc w:val="both"/>
        <w:rPr>
          <w:b/>
          <w:color w:val="C00000"/>
          <w:lang w:val="en-GB"/>
        </w:rPr>
      </w:pPr>
    </w:p>
    <w:p w14:paraId="14C5EC70" w14:textId="07AED683" w:rsidR="00FB199B" w:rsidRPr="00911924" w:rsidRDefault="00FB199B" w:rsidP="00FB199B">
      <w:pPr>
        <w:pStyle w:val="ListParagraph"/>
        <w:numPr>
          <w:ilvl w:val="0"/>
          <w:numId w:val="3"/>
        </w:numPr>
        <w:spacing w:before="100" w:beforeAutospacing="1" w:after="100" w:afterAutospacing="1" w:line="240" w:lineRule="auto"/>
        <w:rPr>
          <w:bCs/>
          <w:color w:val="1F497D" w:themeColor="text2"/>
          <w:lang w:val="en-GB"/>
        </w:rPr>
      </w:pPr>
      <w:r w:rsidRPr="00911924">
        <w:rPr>
          <w:b/>
          <w:color w:val="1F497D" w:themeColor="text2"/>
          <w:u w:val="single"/>
          <w:lang w:val="en-GB"/>
        </w:rPr>
        <w:t>Question:</w:t>
      </w:r>
      <w:r w:rsidRPr="00911924">
        <w:rPr>
          <w:b/>
          <w:color w:val="1F497D" w:themeColor="text2"/>
          <w:lang w:val="en-GB"/>
        </w:rPr>
        <w:t xml:space="preserve"> </w:t>
      </w:r>
      <w:r w:rsidRPr="00911924">
        <w:rPr>
          <w:bCs/>
          <w:color w:val="1F497D" w:themeColor="text2"/>
          <w:lang w:val="en-GB"/>
        </w:rPr>
        <w:t>Could you please advise whether a consortium led by an eligible CSO may include a partner that is a newly established NGO or a newly established private company/business entity that does not yet meet the required turnover?</w:t>
      </w:r>
    </w:p>
    <w:p w14:paraId="20002C4E" w14:textId="77777777" w:rsidR="00176665" w:rsidRPr="00911924" w:rsidRDefault="00176665" w:rsidP="00287D19">
      <w:pPr>
        <w:pStyle w:val="ListParagraph"/>
        <w:spacing w:before="100" w:beforeAutospacing="1" w:after="100" w:afterAutospacing="1" w:line="240" w:lineRule="auto"/>
        <w:ind w:left="360"/>
        <w:jc w:val="both"/>
        <w:rPr>
          <w:color w:val="C00000"/>
          <w:lang w:val="en-GB"/>
        </w:rPr>
      </w:pPr>
    </w:p>
    <w:p w14:paraId="6999025C" w14:textId="07AE6C20" w:rsidR="002D0720" w:rsidRDefault="007D7A2A" w:rsidP="002D0720">
      <w:pPr>
        <w:pStyle w:val="ListParagraph"/>
        <w:spacing w:before="100" w:beforeAutospacing="1" w:after="100" w:afterAutospacing="1" w:line="240" w:lineRule="auto"/>
        <w:ind w:left="360"/>
        <w:jc w:val="both"/>
        <w:rPr>
          <w:bCs/>
          <w:color w:val="C00000"/>
          <w:lang w:val="en-GB"/>
        </w:rPr>
      </w:pPr>
      <w:r w:rsidRPr="00911924">
        <w:rPr>
          <w:b/>
          <w:color w:val="C00000"/>
          <w:u w:val="single"/>
          <w:lang w:val="en-GB"/>
        </w:rPr>
        <w:t>Answer:</w:t>
      </w:r>
      <w:r w:rsidRPr="00911924">
        <w:rPr>
          <w:b/>
          <w:color w:val="C00000"/>
          <w:lang w:val="en-GB"/>
        </w:rPr>
        <w:t xml:space="preserve"> </w:t>
      </w:r>
      <w:r w:rsidR="002D0720">
        <w:rPr>
          <w:b/>
          <w:color w:val="C00000"/>
          <w:lang w:val="en-GB"/>
        </w:rPr>
        <w:t xml:space="preserve"> </w:t>
      </w:r>
      <w:r w:rsidR="002D0720" w:rsidRPr="002D0720">
        <w:rPr>
          <w:bCs/>
          <w:color w:val="C00000"/>
          <w:lang w:val="en-GB"/>
        </w:rPr>
        <w:t xml:space="preserve">As stated in the </w:t>
      </w:r>
      <w:r w:rsidR="002D0720" w:rsidRPr="002D0720">
        <w:rPr>
          <w:b/>
          <w:color w:val="C00000"/>
          <w:lang w:val="en-GB"/>
        </w:rPr>
        <w:t>Eligibility Documentation Form</w:t>
      </w:r>
      <w:r w:rsidR="002D0720" w:rsidRPr="002D0720">
        <w:rPr>
          <w:bCs/>
          <w:color w:val="C00000"/>
          <w:lang w:val="en-GB"/>
        </w:rPr>
        <w:t xml:space="preserve">, the minimum turnover requirement for the past three years and the requirement related to relevant experience in the </w:t>
      </w:r>
      <w:r w:rsidR="002D0720" w:rsidRPr="002D0720">
        <w:rPr>
          <w:b/>
          <w:color w:val="C00000"/>
          <w:lang w:val="en-GB"/>
        </w:rPr>
        <w:t xml:space="preserve">Criteria for Evaluation of the Technical Offer </w:t>
      </w:r>
      <w:r w:rsidR="002D0720" w:rsidRPr="002D0720">
        <w:rPr>
          <w:bCs/>
          <w:color w:val="C00000"/>
          <w:lang w:val="en-GB"/>
        </w:rPr>
        <w:t xml:space="preserve">(demonstrating that the bidder has carried out similar assignments during the past five years: 2021–2025) </w:t>
      </w:r>
      <w:r w:rsidR="002D0720" w:rsidRPr="002D0720">
        <w:rPr>
          <w:b/>
          <w:color w:val="C00000"/>
          <w:lang w:val="en-GB"/>
        </w:rPr>
        <w:t>apply to the lead applicant</w:t>
      </w:r>
      <w:r w:rsidR="002D0720">
        <w:rPr>
          <w:b/>
          <w:color w:val="C00000"/>
          <w:lang w:val="en-GB"/>
        </w:rPr>
        <w:t xml:space="preserve"> and consortium members</w:t>
      </w:r>
      <w:r w:rsidR="002D0720" w:rsidRPr="002D0720">
        <w:rPr>
          <w:bCs/>
          <w:color w:val="C00000"/>
          <w:lang w:val="en-GB"/>
        </w:rPr>
        <w:t>.</w:t>
      </w:r>
      <w:r w:rsidR="002D0720">
        <w:rPr>
          <w:bCs/>
          <w:color w:val="C00000"/>
          <w:lang w:val="en-GB"/>
        </w:rPr>
        <w:t xml:space="preserve"> As mentioned above, the c</w:t>
      </w:r>
      <w:r w:rsidR="002D0720" w:rsidRPr="002D0720">
        <w:rPr>
          <w:bCs/>
          <w:color w:val="C00000"/>
          <w:lang w:val="en-GB"/>
        </w:rPr>
        <w:t>onsortium members are not required to meet</w:t>
      </w:r>
      <w:r w:rsidR="002D0720">
        <w:rPr>
          <w:bCs/>
          <w:color w:val="C00000"/>
          <w:lang w:val="en-GB"/>
        </w:rPr>
        <w:t xml:space="preserve"> </w:t>
      </w:r>
      <w:r w:rsidR="002D0720" w:rsidRPr="002D0720">
        <w:rPr>
          <w:bCs/>
          <w:color w:val="C00000"/>
          <w:lang w:val="en-GB"/>
        </w:rPr>
        <w:t xml:space="preserve">the same turnover threshold individually. </w:t>
      </w:r>
    </w:p>
    <w:p w14:paraId="2E6544F4" w14:textId="2F805711" w:rsidR="007D7A2A" w:rsidRPr="002D0720" w:rsidRDefault="002D0720" w:rsidP="002D0720">
      <w:pPr>
        <w:pStyle w:val="ListParagraph"/>
        <w:spacing w:before="100" w:beforeAutospacing="1" w:after="100" w:afterAutospacing="1" w:line="240" w:lineRule="auto"/>
        <w:ind w:left="360"/>
        <w:jc w:val="both"/>
        <w:rPr>
          <w:bCs/>
          <w:color w:val="C00000"/>
          <w:lang w:val="en-GB"/>
        </w:rPr>
      </w:pPr>
      <w:r>
        <w:rPr>
          <w:bCs/>
          <w:color w:val="C00000"/>
          <w:lang w:val="en-GB"/>
        </w:rPr>
        <w:lastRenderedPageBreak/>
        <w:t>P</w:t>
      </w:r>
      <w:r w:rsidRPr="002D0720">
        <w:rPr>
          <w:bCs/>
          <w:color w:val="C00000"/>
          <w:lang w:val="en-GB"/>
        </w:rPr>
        <w:t>rivate companies, business entities, or trade unions are not eligible to participate in this call. Only organisations legally registered as NGOs are eligible to apply, either as lead applicants or as consortium members.</w:t>
      </w:r>
    </w:p>
    <w:p w14:paraId="217DF79E" w14:textId="77777777" w:rsidR="007D7A2A" w:rsidRPr="00911924" w:rsidRDefault="007D7A2A" w:rsidP="007D7A2A">
      <w:pPr>
        <w:pStyle w:val="ListParagraph"/>
        <w:spacing w:before="100" w:beforeAutospacing="1" w:after="100" w:afterAutospacing="1" w:line="240" w:lineRule="auto"/>
        <w:ind w:left="360"/>
        <w:jc w:val="both"/>
        <w:rPr>
          <w:b/>
          <w:color w:val="C00000"/>
          <w:lang w:val="en-GB"/>
        </w:rPr>
      </w:pPr>
    </w:p>
    <w:p w14:paraId="1162F1CF" w14:textId="3C92C60E" w:rsidR="007D7A2A" w:rsidRPr="00911924" w:rsidRDefault="007D7A2A" w:rsidP="007D7A2A">
      <w:pPr>
        <w:pStyle w:val="ListParagraph"/>
        <w:numPr>
          <w:ilvl w:val="0"/>
          <w:numId w:val="3"/>
        </w:numPr>
        <w:spacing w:before="100" w:beforeAutospacing="1" w:after="100" w:afterAutospacing="1" w:line="240" w:lineRule="auto"/>
        <w:rPr>
          <w:bCs/>
          <w:color w:val="1F497D" w:themeColor="text2"/>
          <w:lang w:val="en-GB"/>
        </w:rPr>
      </w:pPr>
      <w:r w:rsidRPr="00911924">
        <w:rPr>
          <w:b/>
          <w:color w:val="1F497D" w:themeColor="text2"/>
          <w:u w:val="single"/>
          <w:lang w:val="en-GB"/>
        </w:rPr>
        <w:t>Question:</w:t>
      </w:r>
      <w:r w:rsidRPr="00911924">
        <w:rPr>
          <w:b/>
          <w:color w:val="1F497D" w:themeColor="text2"/>
          <w:lang w:val="en-GB"/>
        </w:rPr>
        <w:t xml:space="preserve"> </w:t>
      </w:r>
      <w:r w:rsidRPr="00911924">
        <w:rPr>
          <w:bCs/>
          <w:color w:val="1F497D" w:themeColor="text2"/>
          <w:lang w:val="en-GB"/>
        </w:rPr>
        <w:t>The tender document specifies page limits for Sections A–C of the Technical Proposal. However, it is not clear whether any page limits apply to Sections D–G (Implementation Plan, Risk Assessment and Mitigation, Proposed Team, and Quality Assurance). Could you kindly clarify whether any page limits apply to these sections?</w:t>
      </w:r>
    </w:p>
    <w:p w14:paraId="568D30E8" w14:textId="77777777" w:rsidR="007D7A2A" w:rsidRPr="00911924" w:rsidRDefault="007D7A2A" w:rsidP="00C22AB4">
      <w:pPr>
        <w:pStyle w:val="ListParagraph"/>
        <w:spacing w:before="100" w:beforeAutospacing="1" w:after="100" w:afterAutospacing="1" w:line="240" w:lineRule="auto"/>
        <w:ind w:left="360"/>
        <w:jc w:val="both"/>
        <w:rPr>
          <w:color w:val="C00000"/>
          <w:lang w:val="en-GB"/>
        </w:rPr>
      </w:pPr>
    </w:p>
    <w:p w14:paraId="37AE5635" w14:textId="230AC1C5" w:rsidR="00275FC8" w:rsidRPr="00911924" w:rsidRDefault="00275FC8" w:rsidP="41DA6DAA">
      <w:pPr>
        <w:pStyle w:val="ListParagraph"/>
        <w:spacing w:before="100" w:beforeAutospacing="1" w:after="100" w:afterAutospacing="1" w:line="240" w:lineRule="auto"/>
        <w:ind w:left="360"/>
        <w:jc w:val="both"/>
        <w:rPr>
          <w:b/>
          <w:bCs/>
          <w:color w:val="C00000"/>
          <w:lang w:val="en-GB"/>
        </w:rPr>
      </w:pPr>
      <w:r w:rsidRPr="41DA6DAA">
        <w:rPr>
          <w:b/>
          <w:bCs/>
          <w:color w:val="C00000"/>
          <w:u w:val="single"/>
          <w:lang w:val="en-GB"/>
        </w:rPr>
        <w:t>Answer:</w:t>
      </w:r>
      <w:r w:rsidRPr="41DA6DAA">
        <w:rPr>
          <w:b/>
          <w:bCs/>
          <w:color w:val="C00000"/>
          <w:lang w:val="en-GB"/>
        </w:rPr>
        <w:t xml:space="preserve"> </w:t>
      </w:r>
      <w:r w:rsidR="002D0720" w:rsidRPr="41DA6DAA">
        <w:rPr>
          <w:b/>
          <w:bCs/>
          <w:color w:val="C00000"/>
          <w:lang w:val="en-GB"/>
        </w:rPr>
        <w:t xml:space="preserve"> </w:t>
      </w:r>
      <w:r w:rsidR="002D0720" w:rsidRPr="41DA6DAA">
        <w:rPr>
          <w:color w:val="C00000"/>
          <w:lang w:val="en-GB"/>
        </w:rPr>
        <w:t xml:space="preserve"> It is up to the bidder to decide how to present the Sections D–G (Implementation Plan, Risk Assessment and Mitigation, Proposed Team, and Quality Assurance).</w:t>
      </w:r>
      <w:r w:rsidR="00FA0610">
        <w:rPr>
          <w:color w:val="C00000"/>
          <w:lang w:val="en-GB"/>
        </w:rPr>
        <w:t xml:space="preserve"> The limit applies only to sections A to C. </w:t>
      </w:r>
    </w:p>
    <w:p w14:paraId="7D278096" w14:textId="7A063172" w:rsidR="008A3B94" w:rsidRPr="00911924" w:rsidRDefault="008A3B94" w:rsidP="00CF2F79">
      <w:pPr>
        <w:pStyle w:val="ListParagraph"/>
        <w:spacing w:before="100" w:beforeAutospacing="1" w:after="100" w:afterAutospacing="1" w:line="240" w:lineRule="auto"/>
        <w:ind w:left="360"/>
        <w:jc w:val="both"/>
        <w:rPr>
          <w:color w:val="C00000"/>
          <w:lang w:val="en-GB"/>
        </w:rPr>
      </w:pPr>
    </w:p>
    <w:p w14:paraId="430EE5D4" w14:textId="77777777" w:rsidR="00DA1248" w:rsidRPr="00911924" w:rsidRDefault="00DA1248" w:rsidP="00E06928">
      <w:pPr>
        <w:pStyle w:val="ListParagraph"/>
        <w:spacing w:before="100" w:beforeAutospacing="1" w:after="100" w:afterAutospacing="1" w:line="240" w:lineRule="auto"/>
        <w:ind w:left="360"/>
        <w:jc w:val="both"/>
        <w:rPr>
          <w:b/>
          <w:color w:val="0070C0"/>
          <w:u w:val="single"/>
          <w:lang w:val="en-GB"/>
        </w:rPr>
      </w:pPr>
    </w:p>
    <w:p w14:paraId="2FD6B957" w14:textId="7B30D902" w:rsidR="00C672A6" w:rsidRPr="00911924" w:rsidRDefault="00890E04" w:rsidP="003C7358">
      <w:pPr>
        <w:pStyle w:val="ListParagraph"/>
        <w:tabs>
          <w:tab w:val="left" w:pos="360"/>
          <w:tab w:val="left" w:pos="450"/>
        </w:tabs>
        <w:spacing w:before="100" w:beforeAutospacing="1" w:after="100" w:afterAutospacing="1" w:line="240" w:lineRule="auto"/>
        <w:ind w:left="360"/>
        <w:jc w:val="both"/>
        <w:rPr>
          <w:rFonts w:ascii="Calibri" w:eastAsia="Calibri" w:hAnsi="Calibri" w:cs="Calibri"/>
          <w:color w:val="FF0000"/>
          <w:lang w:val="en-GB"/>
        </w:rPr>
      </w:pPr>
      <w:r w:rsidRPr="00911924">
        <w:rPr>
          <w:rFonts w:ascii="Calibri" w:eastAsia="Calibri" w:hAnsi="Calibri" w:cs="Calibri"/>
          <w:color w:val="FF0000"/>
          <w:lang w:val="en-GB"/>
        </w:rPr>
        <w:t xml:space="preserve">                                   </w:t>
      </w:r>
    </w:p>
    <w:sectPr w:rsidR="00C672A6" w:rsidRPr="00911924" w:rsidSect="005C6C7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A9CC" w14:textId="77777777" w:rsidR="00C472DC" w:rsidRDefault="00C472DC" w:rsidP="009C7418">
      <w:pPr>
        <w:spacing w:after="0" w:line="240" w:lineRule="auto"/>
      </w:pPr>
      <w:r>
        <w:separator/>
      </w:r>
    </w:p>
  </w:endnote>
  <w:endnote w:type="continuationSeparator" w:id="0">
    <w:p w14:paraId="48D1A291" w14:textId="77777777" w:rsidR="00C472DC" w:rsidRDefault="00C472DC" w:rsidP="009C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1E5E" w14:textId="77777777" w:rsidR="00C472DC" w:rsidRDefault="00C472DC" w:rsidP="009C7418">
      <w:pPr>
        <w:spacing w:after="0" w:line="240" w:lineRule="auto"/>
      </w:pPr>
      <w:r>
        <w:separator/>
      </w:r>
    </w:p>
  </w:footnote>
  <w:footnote w:type="continuationSeparator" w:id="0">
    <w:p w14:paraId="3E99B5EE" w14:textId="77777777" w:rsidR="00C472DC" w:rsidRDefault="00C472DC" w:rsidP="009C7418">
      <w:pPr>
        <w:spacing w:after="0" w:line="240" w:lineRule="auto"/>
      </w:pPr>
      <w:r>
        <w:continuationSeparator/>
      </w:r>
    </w:p>
  </w:footnote>
  <w:footnote w:id="1">
    <w:p w14:paraId="716AEE98" w14:textId="14B619FB" w:rsidR="00FE71B8" w:rsidRPr="00FE71B8" w:rsidRDefault="00FE71B8">
      <w:pPr>
        <w:pStyle w:val="FootnoteText"/>
        <w:rPr>
          <w:lang w:val="en-GB"/>
        </w:rPr>
      </w:pPr>
      <w:r>
        <w:rPr>
          <w:rStyle w:val="FootnoteReference"/>
        </w:rPr>
        <w:footnoteRef/>
      </w:r>
      <w:r>
        <w:t xml:space="preserve"> </w:t>
      </w:r>
      <w:hyperlink r:id="rId1" w:history="1">
        <w:r w:rsidRPr="00D21304">
          <w:rPr>
            <w:rStyle w:val="Hyperlink"/>
            <w:sz w:val="18"/>
            <w:szCs w:val="18"/>
          </w:rPr>
          <w:t>https://kqz-ks.org/njoftim-lidhur-me-numrin-e-anetareve-te-kuvendeve-komunale-per-zgjedhjet-lokale-2025-sipas-regjistrimit-te-popullsise/</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B44F" w14:textId="6DDE31D9" w:rsidR="00BD6D32" w:rsidRDefault="00BD6D32" w:rsidP="00BD6D32">
    <w:pPr>
      <w:pStyle w:val="Header"/>
      <w:jc w:val="right"/>
    </w:pPr>
    <w:r w:rsidRPr="006F222C">
      <w:rPr>
        <w:rFonts w:ascii="Calibri" w:hAnsi="Calibri" w:cs="Arial"/>
        <w:szCs w:val="24"/>
        <w:lang w:val="en-GB"/>
      </w:rPr>
      <w:t xml:space="preserve">Ref: </w:t>
    </w:r>
    <w:r>
      <w:rPr>
        <w:rFonts w:ascii="Calibri" w:hAnsi="Calibri" w:cs="Arial"/>
        <w:szCs w:val="24"/>
        <w:lang w:val="en-GB"/>
      </w:rPr>
      <w:t>HSI180326D</w:t>
    </w:r>
  </w:p>
  <w:p w14:paraId="7EB227CA" w14:textId="74579843" w:rsidR="009C7418" w:rsidRDefault="00E3367B">
    <w:pPr>
      <w:pStyle w:val="Header"/>
    </w:pPr>
    <w:r>
      <w:rPr>
        <w:noProof/>
      </w:rPr>
      <w:drawing>
        <wp:anchor distT="0" distB="0" distL="114300" distR="114300" simplePos="0" relativeHeight="251658240" behindDoc="0" locked="0" layoutInCell="1" allowOverlap="1" wp14:anchorId="5F7926D1" wp14:editId="1BE19ECB">
          <wp:simplePos x="0" y="0"/>
          <wp:positionH relativeFrom="margin">
            <wp:posOffset>-180975</wp:posOffset>
          </wp:positionH>
          <wp:positionV relativeFrom="margin">
            <wp:posOffset>-666750</wp:posOffset>
          </wp:positionV>
          <wp:extent cx="2028825" cy="536575"/>
          <wp:effectExtent l="0" t="0" r="0" b="0"/>
          <wp:wrapSquare wrapText="bothSides"/>
          <wp:docPr id="668691657"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91657" name="Picture 1" descr="A red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825" cy="536575"/>
                  </a:xfrm>
                  <a:prstGeom prst="rect">
                    <a:avLst/>
                  </a:prstGeom>
                </pic:spPr>
              </pic:pic>
            </a:graphicData>
          </a:graphic>
          <wp14:sizeRelH relativeFrom="page">
            <wp14:pctWidth>0</wp14:pctWidth>
          </wp14:sizeRelH>
          <wp14:sizeRelV relativeFrom="page">
            <wp14:pctHeight>0</wp14:pctHeight>
          </wp14:sizeRelV>
        </wp:anchor>
      </w:drawing>
    </w:r>
    <w:r w:rsidR="009C7418" w:rsidRPr="009C7418">
      <w:t xml:space="preserve"> </w:t>
    </w:r>
    <w:r w:rsidR="009C74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524"/>
    <w:multiLevelType w:val="multilevel"/>
    <w:tmpl w:val="4DAEA5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E3A58"/>
    <w:multiLevelType w:val="multilevel"/>
    <w:tmpl w:val="F29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03287"/>
    <w:multiLevelType w:val="hybridMultilevel"/>
    <w:tmpl w:val="E1CE190C"/>
    <w:lvl w:ilvl="0" w:tplc="2F5C2AC6">
      <w:start w:val="1"/>
      <w:numFmt w:val="bullet"/>
      <w:lvlText w:val=""/>
      <w:lvlJc w:val="left"/>
      <w:pPr>
        <w:ind w:left="720" w:hanging="360"/>
      </w:pPr>
      <w:rPr>
        <w:rFonts w:ascii="Symbol" w:hAnsi="Symbol" w:hint="default"/>
      </w:rPr>
    </w:lvl>
    <w:lvl w:ilvl="1" w:tplc="7090B600">
      <w:start w:val="1"/>
      <w:numFmt w:val="bullet"/>
      <w:lvlText w:val="o"/>
      <w:lvlJc w:val="left"/>
      <w:pPr>
        <w:ind w:left="1440" w:hanging="360"/>
      </w:pPr>
      <w:rPr>
        <w:rFonts w:ascii="Courier New" w:hAnsi="Courier New" w:hint="default"/>
      </w:rPr>
    </w:lvl>
    <w:lvl w:ilvl="2" w:tplc="9ADA1E7A">
      <w:start w:val="1"/>
      <w:numFmt w:val="bullet"/>
      <w:lvlText w:val=""/>
      <w:lvlJc w:val="left"/>
      <w:pPr>
        <w:ind w:left="2160" w:hanging="360"/>
      </w:pPr>
      <w:rPr>
        <w:rFonts w:ascii="Wingdings" w:hAnsi="Wingdings" w:hint="default"/>
      </w:rPr>
    </w:lvl>
    <w:lvl w:ilvl="3" w:tplc="8F3A3BC0">
      <w:start w:val="1"/>
      <w:numFmt w:val="bullet"/>
      <w:lvlText w:val=""/>
      <w:lvlJc w:val="left"/>
      <w:pPr>
        <w:ind w:left="2880" w:hanging="360"/>
      </w:pPr>
      <w:rPr>
        <w:rFonts w:ascii="Symbol" w:hAnsi="Symbol" w:hint="default"/>
      </w:rPr>
    </w:lvl>
    <w:lvl w:ilvl="4" w:tplc="9FBC8E3E">
      <w:start w:val="1"/>
      <w:numFmt w:val="bullet"/>
      <w:lvlText w:val="o"/>
      <w:lvlJc w:val="left"/>
      <w:pPr>
        <w:ind w:left="3600" w:hanging="360"/>
      </w:pPr>
      <w:rPr>
        <w:rFonts w:ascii="Courier New" w:hAnsi="Courier New" w:hint="default"/>
      </w:rPr>
    </w:lvl>
    <w:lvl w:ilvl="5" w:tplc="4F8C252E">
      <w:start w:val="1"/>
      <w:numFmt w:val="bullet"/>
      <w:lvlText w:val=""/>
      <w:lvlJc w:val="left"/>
      <w:pPr>
        <w:ind w:left="4320" w:hanging="360"/>
      </w:pPr>
      <w:rPr>
        <w:rFonts w:ascii="Wingdings" w:hAnsi="Wingdings" w:hint="default"/>
      </w:rPr>
    </w:lvl>
    <w:lvl w:ilvl="6" w:tplc="DBE2090E">
      <w:start w:val="1"/>
      <w:numFmt w:val="bullet"/>
      <w:lvlText w:val=""/>
      <w:lvlJc w:val="left"/>
      <w:pPr>
        <w:ind w:left="5040" w:hanging="360"/>
      </w:pPr>
      <w:rPr>
        <w:rFonts w:ascii="Symbol" w:hAnsi="Symbol" w:hint="default"/>
      </w:rPr>
    </w:lvl>
    <w:lvl w:ilvl="7" w:tplc="D50E0E5E">
      <w:start w:val="1"/>
      <w:numFmt w:val="bullet"/>
      <w:lvlText w:val="o"/>
      <w:lvlJc w:val="left"/>
      <w:pPr>
        <w:ind w:left="5760" w:hanging="360"/>
      </w:pPr>
      <w:rPr>
        <w:rFonts w:ascii="Courier New" w:hAnsi="Courier New" w:hint="default"/>
      </w:rPr>
    </w:lvl>
    <w:lvl w:ilvl="8" w:tplc="8CD44302">
      <w:start w:val="1"/>
      <w:numFmt w:val="bullet"/>
      <w:lvlText w:val=""/>
      <w:lvlJc w:val="left"/>
      <w:pPr>
        <w:ind w:left="6480" w:hanging="360"/>
      </w:pPr>
      <w:rPr>
        <w:rFonts w:ascii="Wingdings" w:hAnsi="Wingdings" w:hint="default"/>
      </w:rPr>
    </w:lvl>
  </w:abstractNum>
  <w:abstractNum w:abstractNumId="3" w15:restartNumberingAfterBreak="0">
    <w:nsid w:val="45AF20AD"/>
    <w:multiLevelType w:val="hybridMultilevel"/>
    <w:tmpl w:val="73D4FB2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591A063B"/>
    <w:multiLevelType w:val="hybridMultilevel"/>
    <w:tmpl w:val="DFF2E57A"/>
    <w:lvl w:ilvl="0" w:tplc="3CE8EE66">
      <w:start w:val="1"/>
      <w:numFmt w:val="decimal"/>
      <w:lvlText w:val="%1."/>
      <w:lvlJc w:val="left"/>
      <w:pPr>
        <w:ind w:left="360" w:hanging="360"/>
      </w:pPr>
      <w:rPr>
        <w:b w:val="0"/>
        <w:b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2012332">
    <w:abstractNumId w:val="2"/>
  </w:num>
  <w:num w:numId="2" w16cid:durableId="1181622200">
    <w:abstractNumId w:val="0"/>
  </w:num>
  <w:num w:numId="3" w16cid:durableId="634145168">
    <w:abstractNumId w:val="4"/>
  </w:num>
  <w:num w:numId="4" w16cid:durableId="34546825">
    <w:abstractNumId w:val="3"/>
  </w:num>
  <w:num w:numId="5" w16cid:durableId="1551110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02"/>
    <w:rsid w:val="00000241"/>
    <w:rsid w:val="0000390C"/>
    <w:rsid w:val="00020462"/>
    <w:rsid w:val="0003723D"/>
    <w:rsid w:val="0004247D"/>
    <w:rsid w:val="000516D4"/>
    <w:rsid w:val="00052D63"/>
    <w:rsid w:val="00066942"/>
    <w:rsid w:val="000702ED"/>
    <w:rsid w:val="00071309"/>
    <w:rsid w:val="00084E59"/>
    <w:rsid w:val="00097CB2"/>
    <w:rsid w:val="000A5E5A"/>
    <w:rsid w:val="000A6522"/>
    <w:rsid w:val="000D20A5"/>
    <w:rsid w:val="000D254A"/>
    <w:rsid w:val="000E5531"/>
    <w:rsid w:val="00100BD5"/>
    <w:rsid w:val="00121036"/>
    <w:rsid w:val="00151722"/>
    <w:rsid w:val="00166007"/>
    <w:rsid w:val="00176665"/>
    <w:rsid w:val="001A58F6"/>
    <w:rsid w:val="001C0CA6"/>
    <w:rsid w:val="001F00B1"/>
    <w:rsid w:val="00205AA7"/>
    <w:rsid w:val="0021259C"/>
    <w:rsid w:val="00213AC8"/>
    <w:rsid w:val="00216183"/>
    <w:rsid w:val="00225668"/>
    <w:rsid w:val="00233C90"/>
    <w:rsid w:val="002373E6"/>
    <w:rsid w:val="0024467A"/>
    <w:rsid w:val="002460E0"/>
    <w:rsid w:val="00255282"/>
    <w:rsid w:val="00255774"/>
    <w:rsid w:val="00262802"/>
    <w:rsid w:val="0027017C"/>
    <w:rsid w:val="00275A52"/>
    <w:rsid w:val="00275FC8"/>
    <w:rsid w:val="00287D19"/>
    <w:rsid w:val="0029610F"/>
    <w:rsid w:val="002A3280"/>
    <w:rsid w:val="002B695B"/>
    <w:rsid w:val="002D0720"/>
    <w:rsid w:val="002F34FA"/>
    <w:rsid w:val="002F4954"/>
    <w:rsid w:val="00312C0D"/>
    <w:rsid w:val="003250E2"/>
    <w:rsid w:val="0033798A"/>
    <w:rsid w:val="003522C9"/>
    <w:rsid w:val="003C3C86"/>
    <w:rsid w:val="003C7358"/>
    <w:rsid w:val="003E5F02"/>
    <w:rsid w:val="003F2C34"/>
    <w:rsid w:val="00413235"/>
    <w:rsid w:val="0045692F"/>
    <w:rsid w:val="00457140"/>
    <w:rsid w:val="00457DF6"/>
    <w:rsid w:val="004669ED"/>
    <w:rsid w:val="00467055"/>
    <w:rsid w:val="00470702"/>
    <w:rsid w:val="00475AB0"/>
    <w:rsid w:val="004C6739"/>
    <w:rsid w:val="004D6D7E"/>
    <w:rsid w:val="004E5695"/>
    <w:rsid w:val="005069DD"/>
    <w:rsid w:val="0051739F"/>
    <w:rsid w:val="00525576"/>
    <w:rsid w:val="00542361"/>
    <w:rsid w:val="005552DF"/>
    <w:rsid w:val="00556E3B"/>
    <w:rsid w:val="00570394"/>
    <w:rsid w:val="00582809"/>
    <w:rsid w:val="00584A18"/>
    <w:rsid w:val="0059769F"/>
    <w:rsid w:val="005A6A86"/>
    <w:rsid w:val="005C18AA"/>
    <w:rsid w:val="005C6C79"/>
    <w:rsid w:val="005D0149"/>
    <w:rsid w:val="005D3E5D"/>
    <w:rsid w:val="005E6ED0"/>
    <w:rsid w:val="005F348D"/>
    <w:rsid w:val="00606DF8"/>
    <w:rsid w:val="00612F09"/>
    <w:rsid w:val="00634A32"/>
    <w:rsid w:val="0065724A"/>
    <w:rsid w:val="0069101E"/>
    <w:rsid w:val="00692D6F"/>
    <w:rsid w:val="006939F6"/>
    <w:rsid w:val="006D7701"/>
    <w:rsid w:val="00702077"/>
    <w:rsid w:val="00703D42"/>
    <w:rsid w:val="0073575E"/>
    <w:rsid w:val="0075481E"/>
    <w:rsid w:val="0075590A"/>
    <w:rsid w:val="00771B49"/>
    <w:rsid w:val="007946F9"/>
    <w:rsid w:val="00795AF4"/>
    <w:rsid w:val="00796080"/>
    <w:rsid w:val="00797BD5"/>
    <w:rsid w:val="007C7F6F"/>
    <w:rsid w:val="007D7A2A"/>
    <w:rsid w:val="007E00DE"/>
    <w:rsid w:val="007F3E3F"/>
    <w:rsid w:val="007F6BDE"/>
    <w:rsid w:val="0080402A"/>
    <w:rsid w:val="00827A6E"/>
    <w:rsid w:val="0083371A"/>
    <w:rsid w:val="008347F1"/>
    <w:rsid w:val="008407AD"/>
    <w:rsid w:val="008476E3"/>
    <w:rsid w:val="00850FBA"/>
    <w:rsid w:val="00864A9A"/>
    <w:rsid w:val="00885A7C"/>
    <w:rsid w:val="00886472"/>
    <w:rsid w:val="008869A6"/>
    <w:rsid w:val="00890E04"/>
    <w:rsid w:val="008972E6"/>
    <w:rsid w:val="008A23DB"/>
    <w:rsid w:val="008A3B94"/>
    <w:rsid w:val="008A6331"/>
    <w:rsid w:val="008B26E0"/>
    <w:rsid w:val="008D24A0"/>
    <w:rsid w:val="008E1DA8"/>
    <w:rsid w:val="008F15C6"/>
    <w:rsid w:val="008F7A4E"/>
    <w:rsid w:val="00911924"/>
    <w:rsid w:val="00915802"/>
    <w:rsid w:val="00936BB3"/>
    <w:rsid w:val="00951059"/>
    <w:rsid w:val="009651D7"/>
    <w:rsid w:val="00976B12"/>
    <w:rsid w:val="00976CEB"/>
    <w:rsid w:val="009809B7"/>
    <w:rsid w:val="009877C3"/>
    <w:rsid w:val="00997084"/>
    <w:rsid w:val="009A16B5"/>
    <w:rsid w:val="009A3BBF"/>
    <w:rsid w:val="009A460D"/>
    <w:rsid w:val="009B6918"/>
    <w:rsid w:val="009C526F"/>
    <w:rsid w:val="009C7418"/>
    <w:rsid w:val="009D4EDB"/>
    <w:rsid w:val="009E323B"/>
    <w:rsid w:val="009F73F7"/>
    <w:rsid w:val="00A00692"/>
    <w:rsid w:val="00A13B6C"/>
    <w:rsid w:val="00A24A97"/>
    <w:rsid w:val="00A404BB"/>
    <w:rsid w:val="00A66D98"/>
    <w:rsid w:val="00A73CFC"/>
    <w:rsid w:val="00A838AC"/>
    <w:rsid w:val="00A94BD4"/>
    <w:rsid w:val="00AA4ADA"/>
    <w:rsid w:val="00AA699E"/>
    <w:rsid w:val="00AC00A8"/>
    <w:rsid w:val="00AD506C"/>
    <w:rsid w:val="00AE5AF4"/>
    <w:rsid w:val="00B00881"/>
    <w:rsid w:val="00B03825"/>
    <w:rsid w:val="00B05940"/>
    <w:rsid w:val="00B06FEA"/>
    <w:rsid w:val="00B07D27"/>
    <w:rsid w:val="00B156B0"/>
    <w:rsid w:val="00B326FA"/>
    <w:rsid w:val="00B53F4D"/>
    <w:rsid w:val="00B60834"/>
    <w:rsid w:val="00B744CF"/>
    <w:rsid w:val="00B80928"/>
    <w:rsid w:val="00BA0546"/>
    <w:rsid w:val="00BA0EB0"/>
    <w:rsid w:val="00BB21C0"/>
    <w:rsid w:val="00BB5204"/>
    <w:rsid w:val="00BD6610"/>
    <w:rsid w:val="00BD6D32"/>
    <w:rsid w:val="00BE5170"/>
    <w:rsid w:val="00BF7976"/>
    <w:rsid w:val="00C072CF"/>
    <w:rsid w:val="00C1265D"/>
    <w:rsid w:val="00C226D6"/>
    <w:rsid w:val="00C22AB4"/>
    <w:rsid w:val="00C252F4"/>
    <w:rsid w:val="00C41190"/>
    <w:rsid w:val="00C41881"/>
    <w:rsid w:val="00C44175"/>
    <w:rsid w:val="00C472DC"/>
    <w:rsid w:val="00C52609"/>
    <w:rsid w:val="00C56DAA"/>
    <w:rsid w:val="00C65CB4"/>
    <w:rsid w:val="00C672A6"/>
    <w:rsid w:val="00C80196"/>
    <w:rsid w:val="00C81D9E"/>
    <w:rsid w:val="00CE1B56"/>
    <w:rsid w:val="00CE236F"/>
    <w:rsid w:val="00CF2F79"/>
    <w:rsid w:val="00D018A8"/>
    <w:rsid w:val="00D13135"/>
    <w:rsid w:val="00D51763"/>
    <w:rsid w:val="00D56020"/>
    <w:rsid w:val="00D64423"/>
    <w:rsid w:val="00D805F1"/>
    <w:rsid w:val="00D82BB5"/>
    <w:rsid w:val="00D83FD3"/>
    <w:rsid w:val="00D86F6B"/>
    <w:rsid w:val="00D97BE6"/>
    <w:rsid w:val="00DA081A"/>
    <w:rsid w:val="00DA1248"/>
    <w:rsid w:val="00DA4935"/>
    <w:rsid w:val="00DB0F77"/>
    <w:rsid w:val="00DB2214"/>
    <w:rsid w:val="00DD3E6E"/>
    <w:rsid w:val="00DD690B"/>
    <w:rsid w:val="00DE3D21"/>
    <w:rsid w:val="00DF6C3A"/>
    <w:rsid w:val="00E06928"/>
    <w:rsid w:val="00E1483B"/>
    <w:rsid w:val="00E21C06"/>
    <w:rsid w:val="00E23DD7"/>
    <w:rsid w:val="00E27D70"/>
    <w:rsid w:val="00E303E8"/>
    <w:rsid w:val="00E3367B"/>
    <w:rsid w:val="00E42933"/>
    <w:rsid w:val="00E43BB2"/>
    <w:rsid w:val="00E53478"/>
    <w:rsid w:val="00E53EA0"/>
    <w:rsid w:val="00E56F5F"/>
    <w:rsid w:val="00E6423B"/>
    <w:rsid w:val="00E66A98"/>
    <w:rsid w:val="00E76ED2"/>
    <w:rsid w:val="00EA3FB3"/>
    <w:rsid w:val="00EC54A1"/>
    <w:rsid w:val="00ED235A"/>
    <w:rsid w:val="00EE1B46"/>
    <w:rsid w:val="00EF7B43"/>
    <w:rsid w:val="00F16B99"/>
    <w:rsid w:val="00F43FC5"/>
    <w:rsid w:val="00F572F4"/>
    <w:rsid w:val="00F713A8"/>
    <w:rsid w:val="00FA0610"/>
    <w:rsid w:val="00FA63A6"/>
    <w:rsid w:val="00FB199B"/>
    <w:rsid w:val="00FB2F44"/>
    <w:rsid w:val="00FB5351"/>
    <w:rsid w:val="00FC7A05"/>
    <w:rsid w:val="00FE71B8"/>
    <w:rsid w:val="14BCCC0C"/>
    <w:rsid w:val="1FC5FF58"/>
    <w:rsid w:val="2080F91F"/>
    <w:rsid w:val="3AB0C791"/>
    <w:rsid w:val="3EF20F30"/>
    <w:rsid w:val="41DA6DAA"/>
    <w:rsid w:val="434F8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E026"/>
  <w15:docId w15:val="{C1342AB1-31BE-4B77-8D76-2A1CAE98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8"/>
  </w:style>
  <w:style w:type="paragraph" w:styleId="Footer">
    <w:name w:val="footer"/>
    <w:basedOn w:val="Normal"/>
    <w:link w:val="FooterChar"/>
    <w:uiPriority w:val="99"/>
    <w:unhideWhenUsed/>
    <w:rsid w:val="009C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8"/>
  </w:style>
  <w:style w:type="paragraph" w:styleId="ListParagraph">
    <w:name w:val="List Paragraph"/>
    <w:basedOn w:val="Normal"/>
    <w:uiPriority w:val="34"/>
    <w:qFormat/>
    <w:rsid w:val="005D0149"/>
    <w:pPr>
      <w:ind w:left="720"/>
      <w:contextualSpacing/>
    </w:pPr>
  </w:style>
  <w:style w:type="paragraph" w:styleId="NoSpacing">
    <w:name w:val="No Spacing"/>
    <w:uiPriority w:val="1"/>
    <w:qFormat/>
    <w:rsid w:val="005069DD"/>
    <w:pPr>
      <w:spacing w:after="0" w:line="240" w:lineRule="auto"/>
    </w:pPr>
  </w:style>
  <w:style w:type="character" w:styleId="Hyperlink">
    <w:name w:val="Hyperlink"/>
    <w:basedOn w:val="DefaultParagraphFont"/>
    <w:uiPriority w:val="99"/>
    <w:unhideWhenUsed/>
    <w:rsid w:val="007F6BDE"/>
    <w:rPr>
      <w:color w:val="0000FF" w:themeColor="hyperlink"/>
      <w:u w:val="single"/>
    </w:rPr>
  </w:style>
  <w:style w:type="character" w:styleId="UnresolvedMention">
    <w:name w:val="Unresolved Mention"/>
    <w:basedOn w:val="DefaultParagraphFont"/>
    <w:uiPriority w:val="99"/>
    <w:semiHidden/>
    <w:unhideWhenUsed/>
    <w:rsid w:val="007F6BDE"/>
    <w:rPr>
      <w:color w:val="605E5C"/>
      <w:shd w:val="clear" w:color="auto" w:fill="E1DFDD"/>
    </w:rPr>
  </w:style>
  <w:style w:type="character" w:styleId="FollowedHyperlink">
    <w:name w:val="FollowedHyperlink"/>
    <w:basedOn w:val="DefaultParagraphFont"/>
    <w:uiPriority w:val="99"/>
    <w:semiHidden/>
    <w:unhideWhenUsed/>
    <w:rsid w:val="00071309"/>
    <w:rPr>
      <w:color w:val="800080" w:themeColor="followedHyperlink"/>
      <w:u w:val="single"/>
    </w:rPr>
  </w:style>
  <w:style w:type="paragraph" w:styleId="NormalWeb">
    <w:name w:val="Normal (Web)"/>
    <w:basedOn w:val="Normal"/>
    <w:uiPriority w:val="99"/>
    <w:semiHidden/>
    <w:unhideWhenUsed/>
    <w:rsid w:val="00ED235A"/>
    <w:rPr>
      <w:rFonts w:ascii="Times New Roman" w:hAnsi="Times New Roman" w:cs="Times New Roman"/>
      <w:sz w:val="24"/>
      <w:szCs w:val="24"/>
    </w:rPr>
  </w:style>
  <w:style w:type="paragraph" w:styleId="Revision">
    <w:name w:val="Revision"/>
    <w:hidden/>
    <w:uiPriority w:val="99"/>
    <w:semiHidden/>
    <w:rsid w:val="00B03825"/>
    <w:pPr>
      <w:spacing w:after="0" w:line="240" w:lineRule="auto"/>
    </w:pPr>
  </w:style>
  <w:style w:type="character" w:styleId="Strong">
    <w:name w:val="Strong"/>
    <w:basedOn w:val="DefaultParagraphFont"/>
    <w:qFormat/>
    <w:rsid w:val="00CE1B56"/>
    <w:rPr>
      <w:b/>
    </w:rPr>
  </w:style>
  <w:style w:type="character" w:styleId="CommentReference">
    <w:name w:val="annotation reference"/>
    <w:basedOn w:val="DefaultParagraphFont"/>
    <w:uiPriority w:val="99"/>
    <w:semiHidden/>
    <w:unhideWhenUsed/>
    <w:rsid w:val="000D254A"/>
    <w:rPr>
      <w:sz w:val="16"/>
      <w:szCs w:val="16"/>
    </w:rPr>
  </w:style>
  <w:style w:type="paragraph" w:styleId="CommentText">
    <w:name w:val="annotation text"/>
    <w:basedOn w:val="Normal"/>
    <w:link w:val="CommentTextChar"/>
    <w:uiPriority w:val="99"/>
    <w:unhideWhenUsed/>
    <w:rsid w:val="000D254A"/>
    <w:pPr>
      <w:spacing w:line="240" w:lineRule="auto"/>
    </w:pPr>
    <w:rPr>
      <w:sz w:val="20"/>
      <w:szCs w:val="20"/>
    </w:rPr>
  </w:style>
  <w:style w:type="character" w:customStyle="1" w:styleId="CommentTextChar">
    <w:name w:val="Comment Text Char"/>
    <w:basedOn w:val="DefaultParagraphFont"/>
    <w:link w:val="CommentText"/>
    <w:uiPriority w:val="99"/>
    <w:rsid w:val="000D254A"/>
    <w:rPr>
      <w:sz w:val="20"/>
      <w:szCs w:val="20"/>
    </w:rPr>
  </w:style>
  <w:style w:type="paragraph" w:styleId="CommentSubject">
    <w:name w:val="annotation subject"/>
    <w:basedOn w:val="CommentText"/>
    <w:next w:val="CommentText"/>
    <w:link w:val="CommentSubjectChar"/>
    <w:uiPriority w:val="99"/>
    <w:semiHidden/>
    <w:unhideWhenUsed/>
    <w:rsid w:val="000D254A"/>
    <w:rPr>
      <w:b/>
      <w:bCs/>
    </w:rPr>
  </w:style>
  <w:style w:type="character" w:customStyle="1" w:styleId="CommentSubjectChar">
    <w:name w:val="Comment Subject Char"/>
    <w:basedOn w:val="CommentTextChar"/>
    <w:link w:val="CommentSubject"/>
    <w:uiPriority w:val="99"/>
    <w:semiHidden/>
    <w:rsid w:val="000D254A"/>
    <w:rPr>
      <w:b/>
      <w:bCs/>
      <w:sz w:val="20"/>
      <w:szCs w:val="20"/>
    </w:rPr>
  </w:style>
  <w:style w:type="paragraph" w:styleId="FootnoteText">
    <w:name w:val="footnote text"/>
    <w:basedOn w:val="Normal"/>
    <w:link w:val="FootnoteTextChar"/>
    <w:uiPriority w:val="99"/>
    <w:semiHidden/>
    <w:unhideWhenUsed/>
    <w:rsid w:val="00FE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1B8"/>
    <w:rPr>
      <w:sz w:val="20"/>
      <w:szCs w:val="20"/>
    </w:rPr>
  </w:style>
  <w:style w:type="character" w:styleId="FootnoteReference">
    <w:name w:val="footnote reference"/>
    <w:basedOn w:val="DefaultParagraphFont"/>
    <w:uiPriority w:val="99"/>
    <w:semiHidden/>
    <w:unhideWhenUsed/>
    <w:rsid w:val="00FE7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702">
      <w:bodyDiv w:val="1"/>
      <w:marLeft w:val="0"/>
      <w:marRight w:val="0"/>
      <w:marTop w:val="0"/>
      <w:marBottom w:val="0"/>
      <w:divBdr>
        <w:top w:val="none" w:sz="0" w:space="0" w:color="auto"/>
        <w:left w:val="none" w:sz="0" w:space="0" w:color="auto"/>
        <w:bottom w:val="none" w:sz="0" w:space="0" w:color="auto"/>
        <w:right w:val="none" w:sz="0" w:space="0" w:color="auto"/>
      </w:divBdr>
    </w:div>
    <w:div w:id="134688883">
      <w:bodyDiv w:val="1"/>
      <w:marLeft w:val="0"/>
      <w:marRight w:val="0"/>
      <w:marTop w:val="0"/>
      <w:marBottom w:val="0"/>
      <w:divBdr>
        <w:top w:val="none" w:sz="0" w:space="0" w:color="auto"/>
        <w:left w:val="none" w:sz="0" w:space="0" w:color="auto"/>
        <w:bottom w:val="none" w:sz="0" w:space="0" w:color="auto"/>
        <w:right w:val="none" w:sz="0" w:space="0" w:color="auto"/>
      </w:divBdr>
    </w:div>
    <w:div w:id="305210247">
      <w:bodyDiv w:val="1"/>
      <w:marLeft w:val="0"/>
      <w:marRight w:val="0"/>
      <w:marTop w:val="0"/>
      <w:marBottom w:val="0"/>
      <w:divBdr>
        <w:top w:val="none" w:sz="0" w:space="0" w:color="auto"/>
        <w:left w:val="none" w:sz="0" w:space="0" w:color="auto"/>
        <w:bottom w:val="none" w:sz="0" w:space="0" w:color="auto"/>
        <w:right w:val="none" w:sz="0" w:space="0" w:color="auto"/>
      </w:divBdr>
    </w:div>
    <w:div w:id="323050109">
      <w:bodyDiv w:val="1"/>
      <w:marLeft w:val="0"/>
      <w:marRight w:val="0"/>
      <w:marTop w:val="0"/>
      <w:marBottom w:val="0"/>
      <w:divBdr>
        <w:top w:val="none" w:sz="0" w:space="0" w:color="auto"/>
        <w:left w:val="none" w:sz="0" w:space="0" w:color="auto"/>
        <w:bottom w:val="none" w:sz="0" w:space="0" w:color="auto"/>
        <w:right w:val="none" w:sz="0" w:space="0" w:color="auto"/>
      </w:divBdr>
    </w:div>
    <w:div w:id="711660806">
      <w:bodyDiv w:val="1"/>
      <w:marLeft w:val="0"/>
      <w:marRight w:val="0"/>
      <w:marTop w:val="0"/>
      <w:marBottom w:val="0"/>
      <w:divBdr>
        <w:top w:val="none" w:sz="0" w:space="0" w:color="auto"/>
        <w:left w:val="none" w:sz="0" w:space="0" w:color="auto"/>
        <w:bottom w:val="none" w:sz="0" w:space="0" w:color="auto"/>
        <w:right w:val="none" w:sz="0" w:space="0" w:color="auto"/>
      </w:divBdr>
    </w:div>
    <w:div w:id="1291084085">
      <w:bodyDiv w:val="1"/>
      <w:marLeft w:val="0"/>
      <w:marRight w:val="0"/>
      <w:marTop w:val="0"/>
      <w:marBottom w:val="0"/>
      <w:divBdr>
        <w:top w:val="none" w:sz="0" w:space="0" w:color="auto"/>
        <w:left w:val="none" w:sz="0" w:space="0" w:color="auto"/>
        <w:bottom w:val="none" w:sz="0" w:space="0" w:color="auto"/>
        <w:right w:val="none" w:sz="0" w:space="0" w:color="auto"/>
      </w:divBdr>
    </w:div>
    <w:div w:id="1789278025">
      <w:bodyDiv w:val="1"/>
      <w:marLeft w:val="0"/>
      <w:marRight w:val="0"/>
      <w:marTop w:val="0"/>
      <w:marBottom w:val="0"/>
      <w:divBdr>
        <w:top w:val="none" w:sz="0" w:space="0" w:color="auto"/>
        <w:left w:val="none" w:sz="0" w:space="0" w:color="auto"/>
        <w:bottom w:val="none" w:sz="0" w:space="0" w:color="auto"/>
        <w:right w:val="none" w:sz="0" w:space="0" w:color="auto"/>
      </w:divBdr>
    </w:div>
    <w:div w:id="18373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kqz-ks.org/njoftim-lidhur-me-numrin-e-anetareve-te-kuvendeve-komunale-per-zgjedhjet-lokale-2025-sipas-regjistrimit-te-populls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466bae5-2255-4667-b2b4-427a49a75148" xsi:nil="true"/>
    <lcf76f155ced4ddcb4097134ff3c332f xmlns="abb6e558-0cc0-4fbe-b0b5-dab548eea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751d0fd455ffee223328b02cc47c2656">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c961293d8c6afff5cf23507945dfe6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03FC8-A6B3-432B-8E83-4C1F5899559E}">
  <ds:schemaRefs>
    <ds:schemaRef ds:uri="http://schemas.openxmlformats.org/officeDocument/2006/bibliography"/>
  </ds:schemaRefs>
</ds:datastoreItem>
</file>

<file path=customXml/itemProps2.xml><?xml version="1.0" encoding="utf-8"?>
<ds:datastoreItem xmlns:ds="http://schemas.openxmlformats.org/officeDocument/2006/customXml" ds:itemID="{A7F51DAA-E04F-472F-84F2-6070DA34FEEF}">
  <ds:schemaRefs>
    <ds:schemaRef ds:uri="http://schemas.microsoft.com/office/2006/metadata/properties"/>
    <ds:schemaRef ds:uri="http://schemas.microsoft.com/office/infopath/2007/PartnerControls"/>
    <ds:schemaRef ds:uri="3466bae5-2255-4667-b2b4-427a49a75148"/>
    <ds:schemaRef ds:uri="abb6e558-0cc0-4fbe-b0b5-dab548eeacdf"/>
  </ds:schemaRefs>
</ds:datastoreItem>
</file>

<file path=customXml/itemProps3.xml><?xml version="1.0" encoding="utf-8"?>
<ds:datastoreItem xmlns:ds="http://schemas.openxmlformats.org/officeDocument/2006/customXml" ds:itemID="{80EEBC52-55C9-42D9-B5D4-5E347F8D92D9}">
  <ds:schemaRefs>
    <ds:schemaRef ds:uri="http://schemas.microsoft.com/sharepoint/v3/contenttype/forms"/>
  </ds:schemaRefs>
</ds:datastoreItem>
</file>

<file path=customXml/itemProps4.xml><?xml version="1.0" encoding="utf-8"?>
<ds:datastoreItem xmlns:ds="http://schemas.openxmlformats.org/officeDocument/2006/customXml" ds:itemID="{D1646E61-9755-4331-92B7-ADA32845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ertan.munoglu</dc:creator>
  <cp:keywords/>
  <dc:description/>
  <cp:lastModifiedBy>ShpendEmini</cp:lastModifiedBy>
  <cp:revision>20</cp:revision>
  <cp:lastPrinted>2020-05-06T10:51:00Z</cp:lastPrinted>
  <dcterms:created xsi:type="dcterms:W3CDTF">2026-03-06T09:56:00Z</dcterms:created>
  <dcterms:modified xsi:type="dcterms:W3CDTF">2026-03-10T13:28:00Z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0x0101003423EB1696E04E4CB681C2850DC974AA</vt:lpwstr>
  </property>
  <property fmtid="{D5CDD505-2E9C-101B-9397-08002B2CF9AE}" pid="3" name="MediaServiceImageTags">
    <vt:lpwstr/>
  </property>
</Properties>
</file>